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B031FF" w14:textId="77777777" w:rsidR="00780945" w:rsidRDefault="00DD6EA5">
      <w:pPr>
        <w:pStyle w:val="normal0"/>
      </w:pPr>
      <w:bookmarkStart w:id="0" w:name="_GoBack"/>
      <w:bookmarkEnd w:id="0"/>
      <w:r>
        <w:rPr>
          <w:b/>
        </w:rPr>
        <w:t>University of California, Berkeley</w:t>
      </w:r>
    </w:p>
    <w:p w14:paraId="5C4A762D" w14:textId="002FB285" w:rsidR="00780945" w:rsidRDefault="00DD6EA5">
      <w:pPr>
        <w:pStyle w:val="normal0"/>
        <w:jc w:val="both"/>
      </w:pPr>
      <w:r>
        <w:rPr>
          <w:b/>
        </w:rPr>
        <w:t xml:space="preserve">Issued: </w:t>
      </w:r>
    </w:p>
    <w:p w14:paraId="0CE71DA0" w14:textId="77777777" w:rsidR="00780945" w:rsidRDefault="00DD6EA5">
      <w:pPr>
        <w:pStyle w:val="normal0"/>
      </w:pPr>
      <w:r>
        <w:rPr>
          <w:b/>
        </w:rPr>
        <w:t xml:space="preserve">Effective Date                                                     </w:t>
      </w:r>
      <w:r>
        <w:rPr>
          <w:i/>
        </w:rPr>
        <w:t xml:space="preserve"> [UCB Seal Here]</w:t>
      </w:r>
    </w:p>
    <w:p w14:paraId="70DE2A80" w14:textId="77777777" w:rsidR="00780945" w:rsidRDefault="00DD6EA5">
      <w:pPr>
        <w:pStyle w:val="normal0"/>
      </w:pPr>
      <w:r>
        <w:rPr>
          <w:b/>
        </w:rPr>
        <w:t xml:space="preserve">Supersedes:    </w:t>
      </w:r>
    </w:p>
    <w:p w14:paraId="3B3251DA" w14:textId="77777777" w:rsidR="00780945" w:rsidRDefault="00DD6EA5">
      <w:pPr>
        <w:pStyle w:val="normal0"/>
      </w:pPr>
      <w:r>
        <w:rPr>
          <w:b/>
        </w:rPr>
        <w:t>Next Review Date:</w:t>
      </w:r>
    </w:p>
    <w:p w14:paraId="643FC28C" w14:textId="77777777" w:rsidR="00780945" w:rsidRDefault="00780945">
      <w:pPr>
        <w:pStyle w:val="normal0"/>
      </w:pPr>
    </w:p>
    <w:p w14:paraId="20C0D7B6" w14:textId="77777777" w:rsidR="00017477" w:rsidRDefault="00DD6EA5">
      <w:pPr>
        <w:pStyle w:val="normal0"/>
        <w:jc w:val="center"/>
        <w:rPr>
          <w:b/>
        </w:rPr>
      </w:pPr>
      <w:r>
        <w:rPr>
          <w:b/>
          <w:color w:val="FF0000"/>
          <w:highlight w:val="yellow"/>
        </w:rPr>
        <w:t xml:space="preserve">DRAFT </w:t>
      </w:r>
      <w:r w:rsidR="00017477">
        <w:rPr>
          <w:b/>
        </w:rPr>
        <w:t>Procedures</w:t>
      </w:r>
      <w:r w:rsidR="00017477" w:rsidDel="00707283">
        <w:rPr>
          <w:b/>
        </w:rPr>
        <w:t xml:space="preserve"> </w:t>
      </w:r>
    </w:p>
    <w:p w14:paraId="6BC14404" w14:textId="3E95C8A5" w:rsidR="00780945" w:rsidRPr="004C23B2" w:rsidRDefault="00017477">
      <w:pPr>
        <w:pStyle w:val="normal0"/>
        <w:jc w:val="center"/>
      </w:pPr>
      <w:proofErr w:type="gramStart"/>
      <w:r w:rsidRPr="004C23B2">
        <w:t>for</w:t>
      </w:r>
      <w:proofErr w:type="gramEnd"/>
      <w:r w:rsidRPr="004C23B2">
        <w:t xml:space="preserve"> </w:t>
      </w:r>
    </w:p>
    <w:p w14:paraId="27794658" w14:textId="31E45C97" w:rsidR="00707283" w:rsidRDefault="00707283">
      <w:pPr>
        <w:pStyle w:val="normal0"/>
        <w:jc w:val="center"/>
        <w:rPr>
          <w:b/>
        </w:rPr>
      </w:pPr>
      <w:r>
        <w:rPr>
          <w:b/>
        </w:rPr>
        <w:t xml:space="preserve">Privacy and Online </w:t>
      </w:r>
      <w:r w:rsidR="00C43D0A">
        <w:rPr>
          <w:b/>
        </w:rPr>
        <w:t>Monitoring</w:t>
      </w:r>
    </w:p>
    <w:p w14:paraId="1EC94B85" w14:textId="77777777" w:rsidR="004C23B2" w:rsidRDefault="004C23B2">
      <w:pPr>
        <w:pStyle w:val="normal0"/>
        <w:jc w:val="center"/>
        <w:rPr>
          <w:b/>
        </w:rPr>
      </w:pPr>
    </w:p>
    <w:p w14:paraId="541A21A2" w14:textId="0C25D9AB" w:rsidR="00C43D0A" w:rsidRPr="004C23B2" w:rsidRDefault="00017477">
      <w:pPr>
        <w:pStyle w:val="normal0"/>
        <w:jc w:val="center"/>
      </w:pPr>
      <w:proofErr w:type="gramStart"/>
      <w:r w:rsidRPr="004C23B2">
        <w:t>including</w:t>
      </w:r>
      <w:proofErr w:type="gramEnd"/>
    </w:p>
    <w:p w14:paraId="0239DFF4" w14:textId="45C47108" w:rsidR="00707283" w:rsidRDefault="00707283">
      <w:pPr>
        <w:pStyle w:val="normal0"/>
        <w:jc w:val="center"/>
      </w:pPr>
      <w:r>
        <w:rPr>
          <w:b/>
        </w:rPr>
        <w:t>Campus Monitoring Norms</w:t>
      </w:r>
      <w:r w:rsidR="004C23B2">
        <w:rPr>
          <w:b/>
        </w:rPr>
        <w:t xml:space="preserve"> </w:t>
      </w:r>
      <w:r w:rsidR="00C43D0A" w:rsidRPr="004C23B2">
        <w:t>a</w:t>
      </w:r>
      <w:r w:rsidRPr="004C23B2">
        <w:t xml:space="preserve">nd </w:t>
      </w:r>
      <w:r>
        <w:rPr>
          <w:b/>
        </w:rPr>
        <w:t>Privacy Balancing Process</w:t>
      </w:r>
    </w:p>
    <w:p w14:paraId="41443A76" w14:textId="77777777" w:rsidR="00780945" w:rsidRDefault="00780945">
      <w:pPr>
        <w:pStyle w:val="normal0"/>
        <w:jc w:val="center"/>
      </w:pPr>
    </w:p>
    <w:p w14:paraId="3C809862" w14:textId="5B2887CD" w:rsidR="00780945" w:rsidRDefault="00DD6EA5">
      <w:pPr>
        <w:pStyle w:val="normal0"/>
        <w:ind w:left="2880" w:hanging="2880"/>
      </w:pPr>
      <w:r>
        <w:t>Responsible Executive:</w:t>
      </w:r>
      <w:r w:rsidR="42E1CF49">
        <w:t xml:space="preserve">          </w:t>
      </w:r>
      <w:r w:rsidRPr="008C279B">
        <w:tab/>
      </w:r>
      <w:r w:rsidR="008C279B" w:rsidRPr="00F71A65">
        <w:rPr>
          <w:bCs/>
        </w:rPr>
        <w:t>Chief Ethics Risk and Compliance Officer</w:t>
      </w:r>
    </w:p>
    <w:p w14:paraId="512C5C22" w14:textId="77777777" w:rsidR="00780945" w:rsidRDefault="00780945">
      <w:pPr>
        <w:pStyle w:val="normal0"/>
      </w:pPr>
    </w:p>
    <w:p w14:paraId="30DB0927" w14:textId="2DB90253" w:rsidR="00780945" w:rsidRPr="00F64489" w:rsidRDefault="00DD6EA5">
      <w:pPr>
        <w:pStyle w:val="normal0"/>
        <w:tabs>
          <w:tab w:val="left" w:pos="2160"/>
          <w:tab w:val="left" w:pos="2340"/>
        </w:tabs>
        <w:ind w:left="2880" w:hanging="2880"/>
      </w:pPr>
      <w:r>
        <w:t>Responsible Office:</w:t>
      </w:r>
      <w:r>
        <w:tab/>
      </w:r>
      <w:r>
        <w:tab/>
      </w:r>
      <w:r w:rsidR="42E1CF49">
        <w:t xml:space="preserve">         </w:t>
      </w:r>
      <w:r>
        <w:t xml:space="preserve">Campus Privacy Office </w:t>
      </w:r>
    </w:p>
    <w:p w14:paraId="10C95B95" w14:textId="77777777" w:rsidR="00780945" w:rsidRPr="00F64489" w:rsidRDefault="00780945">
      <w:pPr>
        <w:pStyle w:val="normal0"/>
        <w:tabs>
          <w:tab w:val="left" w:pos="0"/>
          <w:tab w:val="left" w:pos="360"/>
          <w:tab w:val="left" w:pos="720"/>
          <w:tab w:val="left" w:pos="2340"/>
          <w:tab w:val="left" w:pos="3600"/>
        </w:tabs>
      </w:pPr>
    </w:p>
    <w:p w14:paraId="452AD51D" w14:textId="0B24486E" w:rsidR="00780945" w:rsidRDefault="00DD6EA5">
      <w:pPr>
        <w:pStyle w:val="normal0"/>
        <w:tabs>
          <w:tab w:val="left" w:pos="0"/>
          <w:tab w:val="left" w:pos="360"/>
          <w:tab w:val="left" w:pos="720"/>
          <w:tab w:val="left" w:pos="2160"/>
          <w:tab w:val="left" w:pos="2880"/>
          <w:tab w:val="left" w:pos="3600"/>
        </w:tabs>
        <w:ind w:left="2880" w:hanging="2880"/>
      </w:pPr>
      <w:r w:rsidRPr="00F64489">
        <w:t>Contact:</w:t>
      </w:r>
      <w:r w:rsidRPr="00F64489">
        <w:tab/>
      </w:r>
      <w:r w:rsidRPr="00F64489">
        <w:tab/>
      </w:r>
      <w:r>
        <w:t xml:space="preserve">Campus Privacy Officer, </w:t>
      </w:r>
      <w:hyperlink r:id="rId9">
        <w:r>
          <w:rPr>
            <w:color w:val="1155CC"/>
            <w:u w:val="single"/>
          </w:rPr>
          <w:t>privacyoffice@berkeley.edu</w:t>
        </w:r>
      </w:hyperlink>
      <w:r>
        <w:t>, privacy.berkeley.edu</w:t>
      </w:r>
    </w:p>
    <w:p w14:paraId="6CD43825" w14:textId="77777777" w:rsidR="00780945" w:rsidRDefault="00780945">
      <w:pPr>
        <w:pStyle w:val="normal0"/>
      </w:pPr>
    </w:p>
    <w:p w14:paraId="6707D781" w14:textId="3CAC30F1" w:rsidR="00A12A36" w:rsidRDefault="00DD6EA5">
      <w:pPr>
        <w:pStyle w:val="normal0"/>
      </w:pPr>
      <w:r>
        <w:t>Th</w:t>
      </w:r>
      <w:r w:rsidR="00707283">
        <w:t xml:space="preserve">is document </w:t>
      </w:r>
      <w:r w:rsidR="00C43D0A">
        <w:t xml:space="preserve">defines implementation </w:t>
      </w:r>
      <w:r>
        <w:t>procedure</w:t>
      </w:r>
      <w:r w:rsidR="00C43D0A">
        <w:t xml:space="preserve">s to meet requirements </w:t>
      </w:r>
      <w:r w:rsidR="00E87350">
        <w:t>of</w:t>
      </w:r>
      <w:r w:rsidR="00C43D0A">
        <w:t xml:space="preserve"> the</w:t>
      </w:r>
      <w:r w:rsidR="00933512">
        <w:t xml:space="preserve"> </w:t>
      </w:r>
      <w:r w:rsidR="00A015DA">
        <w:t xml:space="preserve">UC Berkeley </w:t>
      </w:r>
      <w:r w:rsidR="00017477">
        <w:t xml:space="preserve">Policy on </w:t>
      </w:r>
      <w:r w:rsidR="00D07B9F">
        <w:t>Privacy and Online Monitoring</w:t>
      </w:r>
      <w:r w:rsidR="00C43D0A">
        <w:t xml:space="preserve">. </w:t>
      </w:r>
    </w:p>
    <w:p w14:paraId="567AD9F2" w14:textId="77777777" w:rsidR="00A12A36" w:rsidRDefault="00A12A36">
      <w:pPr>
        <w:pStyle w:val="normal0"/>
      </w:pPr>
    </w:p>
    <w:p w14:paraId="6A7A0B13" w14:textId="77777777" w:rsidR="00A12A36" w:rsidRDefault="00A12A36">
      <w:pPr>
        <w:pStyle w:val="normal0"/>
      </w:pPr>
    </w:p>
    <w:p w14:paraId="589FC0FD" w14:textId="77777777" w:rsidR="00596CDE" w:rsidRPr="00160586" w:rsidRDefault="00596CDE" w:rsidP="004C23B2">
      <w:pPr>
        <w:pStyle w:val="Heading1"/>
      </w:pPr>
      <w:r w:rsidRPr="00160586">
        <w:t xml:space="preserve">Section A. </w:t>
      </w:r>
      <w:r>
        <w:t xml:space="preserve">- </w:t>
      </w:r>
      <w:r w:rsidRPr="00160586">
        <w:t>Norms and Notice</w:t>
      </w:r>
    </w:p>
    <w:p w14:paraId="7F2047DE" w14:textId="4BB41699" w:rsidR="00A12A36" w:rsidRDefault="00E87350" w:rsidP="004C23B2">
      <w:pPr>
        <w:pStyle w:val="Heading2"/>
      </w:pPr>
      <w:r>
        <w:t>A</w:t>
      </w:r>
      <w:r w:rsidR="00A12A36">
        <w:t>.</w:t>
      </w:r>
      <w:r w:rsidR="00596CDE">
        <w:t>1.</w:t>
      </w:r>
      <w:r w:rsidR="00A12A36">
        <w:t xml:space="preserve"> Campus Monitoring Norms</w:t>
      </w:r>
    </w:p>
    <w:p w14:paraId="52297EC6" w14:textId="6906FA10" w:rsidR="00A12A36" w:rsidRDefault="00596CDE" w:rsidP="004C23B2">
      <w:pPr>
        <w:pStyle w:val="normal0"/>
      </w:pPr>
      <w:r>
        <w:t xml:space="preserve">The following Monitoring Practices are established standard practices widely accepted by the UC Berkeley Campus. Meaningful notice to users of these standard practices, as well as exceptional practices is required. These Monitoring Practices generally </w:t>
      </w:r>
      <w:r w:rsidRPr="004C23B2">
        <w:rPr>
          <w:b/>
        </w:rPr>
        <w:t>do not require</w:t>
      </w:r>
      <w:r>
        <w:t xml:space="preserve"> a</w:t>
      </w:r>
      <w:r w:rsidR="00A12A36">
        <w:t xml:space="preserve"> Privacy Balancing Process</w:t>
      </w:r>
      <w:r>
        <w:t>.</w:t>
      </w:r>
    </w:p>
    <w:p w14:paraId="0ACABDC5" w14:textId="77777777" w:rsidR="006E701D" w:rsidRDefault="006E701D" w:rsidP="004C23B2">
      <w:pPr>
        <w:pStyle w:val="normal0"/>
      </w:pPr>
    </w:p>
    <w:p w14:paraId="25608191" w14:textId="63C7279B" w:rsidR="00017477" w:rsidRDefault="00017477" w:rsidP="004C23B2">
      <w:pPr>
        <w:pStyle w:val="normal0"/>
      </w:pPr>
      <w:r>
        <w:t>[Under Development] – see Appendix C</w:t>
      </w:r>
    </w:p>
    <w:p w14:paraId="47A4216E" w14:textId="4507D194" w:rsidR="00353612" w:rsidRDefault="00596CDE" w:rsidP="00353612">
      <w:pPr>
        <w:pStyle w:val="Heading2"/>
      </w:pPr>
      <w:r>
        <w:t xml:space="preserve">A.2. </w:t>
      </w:r>
      <w:r w:rsidR="004A2506">
        <w:t xml:space="preserve">The </w:t>
      </w:r>
      <w:r w:rsidR="004A2506" w:rsidRPr="00160586">
        <w:t>Monitoring Practice Inventory</w:t>
      </w:r>
    </w:p>
    <w:p w14:paraId="791D1549" w14:textId="4E471F8D" w:rsidR="00596CDE" w:rsidRDefault="004A2506" w:rsidP="004C23B2">
      <w:pPr>
        <w:pStyle w:val="normal0"/>
      </w:pPr>
      <w:r>
        <w:t xml:space="preserve">The </w:t>
      </w:r>
      <w:r w:rsidRPr="004A2506">
        <w:t xml:space="preserve">Monitoring Practice Inventory </w:t>
      </w:r>
      <w:r>
        <w:t>template in Appendix A provides</w:t>
      </w:r>
      <w:r w:rsidR="00596CDE">
        <w:t xml:space="preserve"> the </w:t>
      </w:r>
      <w:r>
        <w:t xml:space="preserve">standard </w:t>
      </w:r>
      <w:r w:rsidR="00596CDE">
        <w:t>campus format for documenting Monitoring Practices to submit to the Information Risk Governance Committee (IRGC)</w:t>
      </w:r>
      <w:r w:rsidR="00422262">
        <w:t xml:space="preserve"> and</w:t>
      </w:r>
      <w:r w:rsidR="00596CDE">
        <w:t xml:space="preserve"> Academic Senate Committee on Computing and Information Technology (CIT)</w:t>
      </w:r>
      <w:r>
        <w:t>. It includes:</w:t>
      </w:r>
    </w:p>
    <w:p w14:paraId="5941F2CE" w14:textId="48BB8DC7" w:rsidR="00353612" w:rsidRDefault="00353612" w:rsidP="004C23B2">
      <w:pPr>
        <w:pStyle w:val="normal0"/>
        <w:numPr>
          <w:ilvl w:val="0"/>
          <w:numId w:val="30"/>
        </w:numPr>
      </w:pPr>
      <w:r>
        <w:t xml:space="preserve">Method of monitoring and implementation status (e.g., proposed, existing) </w:t>
      </w:r>
    </w:p>
    <w:p w14:paraId="5E3AD9E4" w14:textId="1D058F3C" w:rsidR="00353612" w:rsidRDefault="00353612" w:rsidP="004C23B2">
      <w:pPr>
        <w:pStyle w:val="normal0"/>
        <w:numPr>
          <w:ilvl w:val="0"/>
          <w:numId w:val="30"/>
        </w:numPr>
      </w:pPr>
      <w:r>
        <w:t>Summary</w:t>
      </w:r>
    </w:p>
    <w:p w14:paraId="439BDC1B" w14:textId="3E407166" w:rsidR="00353612" w:rsidRDefault="00353612" w:rsidP="004C23B2">
      <w:pPr>
        <w:pStyle w:val="normal0"/>
        <w:numPr>
          <w:ilvl w:val="0"/>
          <w:numId w:val="30"/>
        </w:numPr>
      </w:pPr>
      <w:r>
        <w:t>Purpose</w:t>
      </w:r>
    </w:p>
    <w:p w14:paraId="028C6F63" w14:textId="6B438B68" w:rsidR="00353612" w:rsidRDefault="00353612" w:rsidP="004C23B2">
      <w:pPr>
        <w:pStyle w:val="normal0"/>
        <w:numPr>
          <w:ilvl w:val="0"/>
          <w:numId w:val="30"/>
        </w:numPr>
      </w:pPr>
      <w:r>
        <w:t xml:space="preserve">Data Examined/Collected and retention period </w:t>
      </w:r>
    </w:p>
    <w:p w14:paraId="1992500C" w14:textId="641FD496" w:rsidR="004A2506" w:rsidRDefault="004A2506" w:rsidP="004C23B2">
      <w:pPr>
        <w:pStyle w:val="normal0"/>
        <w:numPr>
          <w:ilvl w:val="0"/>
          <w:numId w:val="30"/>
        </w:numPr>
      </w:pPr>
      <w:r>
        <w:lastRenderedPageBreak/>
        <w:t xml:space="preserve">Recommendations (source) (for recording campus input on the monitoring practice) </w:t>
      </w:r>
    </w:p>
    <w:p w14:paraId="3877643E" w14:textId="77777777" w:rsidR="004A2506" w:rsidRDefault="004A2506" w:rsidP="004C23B2">
      <w:pPr>
        <w:pStyle w:val="normal0"/>
      </w:pPr>
    </w:p>
    <w:p w14:paraId="11C407D5" w14:textId="4C3150C0" w:rsidR="006E13EB" w:rsidRPr="004C23B2" w:rsidRDefault="004A2506" w:rsidP="004C23B2">
      <w:pPr>
        <w:pStyle w:val="normal0"/>
      </w:pPr>
      <w:r>
        <w:t>The format of notice to users may differ from the Monitoring Practice Inventory.</w:t>
      </w:r>
    </w:p>
    <w:p w14:paraId="73927580" w14:textId="073DA353" w:rsidR="00A12A36" w:rsidRPr="00A12A36" w:rsidRDefault="00E87350">
      <w:pPr>
        <w:pStyle w:val="Heading1"/>
        <w:contextualSpacing w:val="0"/>
      </w:pPr>
      <w:bookmarkStart w:id="1" w:name="_Toc332281948"/>
      <w:bookmarkStart w:id="2" w:name="_Toc348543334"/>
      <w:r>
        <w:t>B</w:t>
      </w:r>
      <w:r w:rsidR="00A12A36">
        <w:t xml:space="preserve">. </w:t>
      </w:r>
      <w:bookmarkEnd w:id="1"/>
      <w:bookmarkEnd w:id="2"/>
      <w:r w:rsidR="00A12A36">
        <w:t>Privacy Balancing Process</w:t>
      </w:r>
    </w:p>
    <w:p w14:paraId="5E867E58" w14:textId="212D7E40" w:rsidR="004A2506" w:rsidRPr="00160586" w:rsidRDefault="004A2506" w:rsidP="004A2506">
      <w:pPr>
        <w:pStyle w:val="normal0"/>
        <w:rPr>
          <w:b/>
        </w:rPr>
      </w:pPr>
      <w:r>
        <w:t xml:space="preserve">The Privacy Balancing Process </w:t>
      </w:r>
      <w:r w:rsidR="006E13EB">
        <w:t>outlines</w:t>
      </w:r>
      <w:r>
        <w:t xml:space="preserve"> the required analysis and approval process for proposed Monitoring Practices that deviate from Campus Monitoring Norms. </w:t>
      </w:r>
    </w:p>
    <w:p w14:paraId="2874A04A" w14:textId="77777777" w:rsidR="004A2506" w:rsidRDefault="004A2506" w:rsidP="004C23B2">
      <w:pPr>
        <w:pStyle w:val="Heading2"/>
      </w:pPr>
      <w:r>
        <w:t xml:space="preserve">B.1. </w:t>
      </w:r>
      <w:r w:rsidRPr="00160586">
        <w:t xml:space="preserve">Privacy Balancing </w:t>
      </w:r>
      <w:r>
        <w:t xml:space="preserve">Analysis </w:t>
      </w:r>
    </w:p>
    <w:p w14:paraId="111366C1" w14:textId="2B1E22BE" w:rsidR="00780945" w:rsidRDefault="00DD6EA5">
      <w:pPr>
        <w:pStyle w:val="normal0"/>
      </w:pPr>
      <w:bookmarkStart w:id="3" w:name="h.8pysdqwtdx28" w:colFirst="0" w:colLast="0"/>
      <w:bookmarkStart w:id="4" w:name="h.k8hr1h4d7ypj" w:colFirst="0" w:colLast="0"/>
      <w:bookmarkStart w:id="5" w:name="h.h56ji4fxu657" w:colFirst="0" w:colLast="0"/>
      <w:bookmarkStart w:id="6" w:name="h.zgoqjay2b1vh" w:colFirst="0" w:colLast="0"/>
      <w:bookmarkStart w:id="7" w:name="h.n8gx7yy14vvr" w:colFirst="0" w:colLast="0"/>
      <w:bookmarkStart w:id="8" w:name="h.9m1a39llji46" w:colFirst="0" w:colLast="0"/>
      <w:bookmarkStart w:id="9" w:name="h.wrlummimsk4q" w:colFirst="0" w:colLast="0"/>
      <w:bookmarkEnd w:id="3"/>
      <w:bookmarkEnd w:id="4"/>
      <w:bookmarkEnd w:id="5"/>
      <w:bookmarkEnd w:id="6"/>
      <w:bookmarkEnd w:id="7"/>
      <w:bookmarkEnd w:id="8"/>
      <w:bookmarkEnd w:id="9"/>
      <w:r>
        <w:t xml:space="preserve">As minimum considerations for the UC Berkeley </w:t>
      </w:r>
      <w:r w:rsidR="005C69F1">
        <w:t>B</w:t>
      </w:r>
      <w:r>
        <w:t xml:space="preserve">alancing </w:t>
      </w:r>
      <w:r w:rsidR="005C69F1">
        <w:t>P</w:t>
      </w:r>
      <w:r>
        <w:t xml:space="preserve">rocess for Monitoring Practices, </w:t>
      </w:r>
      <w:r w:rsidR="00D77E65">
        <w:t>monitoring units</w:t>
      </w:r>
      <w:r>
        <w:t xml:space="preserve"> must analyze and document in a Balancing Analysis the following factors</w:t>
      </w:r>
      <w:r>
        <w:rPr>
          <w:vertAlign w:val="superscript"/>
        </w:rPr>
        <w:footnoteReference w:id="1"/>
      </w:r>
      <w:r>
        <w:t xml:space="preserve">: </w:t>
      </w:r>
    </w:p>
    <w:p w14:paraId="34E57DA9" w14:textId="6A9059E3" w:rsidR="00780945" w:rsidRPr="00F71A65" w:rsidRDefault="00222467" w:rsidP="00F71A65">
      <w:pPr>
        <w:pStyle w:val="Heading4"/>
        <w:ind w:hanging="360"/>
        <w:contextualSpacing w:val="0"/>
        <w:rPr>
          <w:sz w:val="24"/>
        </w:rPr>
      </w:pPr>
      <w:bookmarkStart w:id="10" w:name="h.vqmt9ikghhrh" w:colFirst="0" w:colLast="0"/>
      <w:bookmarkStart w:id="11" w:name="_Toc348543364"/>
      <w:bookmarkEnd w:id="10"/>
      <w:r>
        <w:rPr>
          <w:sz w:val="24"/>
        </w:rPr>
        <w:t>B.1.</w:t>
      </w:r>
      <w:r w:rsidR="005B0C2C" w:rsidRPr="00F71A65">
        <w:rPr>
          <w:sz w:val="24"/>
        </w:rPr>
        <w:t>1</w:t>
      </w:r>
      <w:r w:rsidR="00DD6EA5" w:rsidRPr="00F71A65">
        <w:rPr>
          <w:sz w:val="24"/>
        </w:rPr>
        <w:t>.</w:t>
      </w:r>
      <w:r w:rsidR="005B0C2C" w:rsidRPr="00F71A65">
        <w:rPr>
          <w:sz w:val="24"/>
        </w:rPr>
        <w:t xml:space="preserve">  </w:t>
      </w:r>
      <w:r w:rsidR="00DD6EA5" w:rsidRPr="00F71A65">
        <w:rPr>
          <w:sz w:val="24"/>
        </w:rPr>
        <w:t>Utility:</w:t>
      </w:r>
      <w:bookmarkEnd w:id="11"/>
      <w:r w:rsidR="00DD6EA5" w:rsidRPr="00F71A65">
        <w:rPr>
          <w:sz w:val="24"/>
        </w:rPr>
        <w:t xml:space="preserve"> </w:t>
      </w:r>
    </w:p>
    <w:p w14:paraId="0A39BE23" w14:textId="77777777" w:rsidR="00780945" w:rsidRDefault="00DD6EA5">
      <w:pPr>
        <w:pStyle w:val="normal0"/>
        <w:ind w:left="720"/>
        <w:rPr>
          <w:rFonts w:ascii="Arial" w:eastAsia="Arial" w:hAnsi="Arial" w:cs="Arial"/>
        </w:rPr>
      </w:pPr>
      <w:r>
        <w:t xml:space="preserve">The Balancing Analysis must document the purpose for monitoring and an estimate of current and future utility. </w:t>
      </w:r>
      <w:r>
        <w:rPr>
          <w:u w:val="single"/>
        </w:rPr>
        <w:t>Privacy Objective</w:t>
      </w:r>
      <w:r>
        <w:t>: Establish the value of monitoring or not monitoring to enable determination of whether the proposed course of action is sufficiently compelling to justify the privacy impact.</w:t>
      </w:r>
    </w:p>
    <w:p w14:paraId="773E9C91" w14:textId="164BAFEC" w:rsidR="00780945" w:rsidRPr="00F71A65" w:rsidRDefault="00222467" w:rsidP="00F71A65">
      <w:pPr>
        <w:pStyle w:val="Heading4"/>
        <w:ind w:left="0"/>
        <w:contextualSpacing w:val="0"/>
        <w:rPr>
          <w:sz w:val="24"/>
        </w:rPr>
      </w:pPr>
      <w:bookmarkStart w:id="12" w:name="h.bzhusa3x2r8q" w:colFirst="0" w:colLast="0"/>
      <w:bookmarkStart w:id="13" w:name="_Toc348543365"/>
      <w:bookmarkEnd w:id="12"/>
      <w:r>
        <w:rPr>
          <w:sz w:val="24"/>
        </w:rPr>
        <w:t>B.1.</w:t>
      </w:r>
      <w:r w:rsidR="00416F7A">
        <w:rPr>
          <w:sz w:val="24"/>
        </w:rPr>
        <w:t>2.</w:t>
      </w:r>
      <w:r w:rsidR="005B0C2C" w:rsidRPr="00F71A65">
        <w:rPr>
          <w:sz w:val="24"/>
        </w:rPr>
        <w:t xml:space="preserve">  </w:t>
      </w:r>
      <w:r w:rsidR="00DD6EA5" w:rsidRPr="00F71A65">
        <w:rPr>
          <w:sz w:val="24"/>
        </w:rPr>
        <w:t>Alternatives:</w:t>
      </w:r>
      <w:bookmarkEnd w:id="13"/>
      <w:r w:rsidR="00DD6EA5" w:rsidRPr="00F71A65">
        <w:rPr>
          <w:sz w:val="24"/>
        </w:rPr>
        <w:t xml:space="preserve"> </w:t>
      </w:r>
    </w:p>
    <w:p w14:paraId="62F04011" w14:textId="688671AF" w:rsidR="00780945" w:rsidRDefault="00DD6EA5">
      <w:pPr>
        <w:pStyle w:val="normal0"/>
        <w:ind w:left="720"/>
        <w:rPr>
          <w:rFonts w:ascii="Arial" w:eastAsia="Arial" w:hAnsi="Arial" w:cs="Arial"/>
        </w:rPr>
      </w:pPr>
      <w:r>
        <w:t xml:space="preserve">The Balancing Analysis must consider alternative means </w:t>
      </w:r>
      <w:r w:rsidR="00D77E65">
        <w:t>of</w:t>
      </w:r>
      <w:r>
        <w:t xml:space="preserve"> accomplish</w:t>
      </w:r>
      <w:r w:rsidR="00D77E65">
        <w:t>ing</w:t>
      </w:r>
      <w:r>
        <w:t xml:space="preserve"> the documented purpose, and the relative efficacy and privacy impact of the alternative approaches. </w:t>
      </w:r>
      <w:r>
        <w:rPr>
          <w:u w:val="single"/>
        </w:rPr>
        <w:t>Privacy Objective</w:t>
      </w:r>
      <w:r>
        <w:t>: Evaluate alternatives to monitoring practices that give deference to the privacy of individuals without unduly constraining other institutional operational needs.</w:t>
      </w:r>
    </w:p>
    <w:p w14:paraId="28DD1C2B" w14:textId="118AF377" w:rsidR="00780945" w:rsidRPr="00F71A65" w:rsidRDefault="00222467" w:rsidP="00F71A65">
      <w:pPr>
        <w:pStyle w:val="Heading4"/>
        <w:ind w:hanging="360"/>
        <w:contextualSpacing w:val="0"/>
        <w:rPr>
          <w:sz w:val="24"/>
        </w:rPr>
      </w:pPr>
      <w:bookmarkStart w:id="14" w:name="h.nracriz91k8" w:colFirst="0" w:colLast="0"/>
      <w:bookmarkStart w:id="15" w:name="_Toc348543366"/>
      <w:bookmarkEnd w:id="14"/>
      <w:r>
        <w:rPr>
          <w:sz w:val="24"/>
        </w:rPr>
        <w:t>B.1.</w:t>
      </w:r>
      <w:r w:rsidR="005B0C2C">
        <w:rPr>
          <w:sz w:val="24"/>
        </w:rPr>
        <w:t>3</w:t>
      </w:r>
      <w:r w:rsidR="00DD6EA5" w:rsidRPr="00F71A65">
        <w:rPr>
          <w:sz w:val="24"/>
        </w:rPr>
        <w:t>.</w:t>
      </w:r>
      <w:r w:rsidR="005B0C2C" w:rsidRPr="005B0C2C" w:rsidDel="005B0C2C">
        <w:rPr>
          <w:sz w:val="24"/>
        </w:rPr>
        <w:t xml:space="preserve"> </w:t>
      </w:r>
      <w:r w:rsidR="005B0C2C">
        <w:rPr>
          <w:sz w:val="24"/>
        </w:rPr>
        <w:t xml:space="preserve"> </w:t>
      </w:r>
      <w:r w:rsidR="00DD6EA5" w:rsidRPr="00F71A65">
        <w:rPr>
          <w:sz w:val="24"/>
        </w:rPr>
        <w:t>Scope:</w:t>
      </w:r>
      <w:bookmarkEnd w:id="15"/>
    </w:p>
    <w:p w14:paraId="46EC1185" w14:textId="77777777" w:rsidR="00780945" w:rsidRDefault="00DD6EA5">
      <w:pPr>
        <w:pStyle w:val="normal0"/>
        <w:ind w:left="720"/>
      </w:pPr>
      <w:r>
        <w:t xml:space="preserve">The Balancing Analysis must consider and document the scope of monitoring and the privacy interests of groups impacted by the monitoring. </w:t>
      </w:r>
      <w:r>
        <w:rPr>
          <w:u w:val="single"/>
        </w:rPr>
        <w:t>Privacy Objective</w:t>
      </w:r>
      <w:r>
        <w:t>: Segment and apply monitoring according to risk and privacy interests.</w:t>
      </w:r>
    </w:p>
    <w:p w14:paraId="63F888B3" w14:textId="24F22FCF" w:rsidR="00780945" w:rsidRPr="00F71A65" w:rsidRDefault="00222467" w:rsidP="00F71A65">
      <w:pPr>
        <w:pStyle w:val="Heading4"/>
        <w:ind w:hanging="360"/>
        <w:contextualSpacing w:val="0"/>
        <w:rPr>
          <w:sz w:val="24"/>
        </w:rPr>
      </w:pPr>
      <w:bookmarkStart w:id="16" w:name="h.3jma4gfgvwph" w:colFirst="0" w:colLast="0"/>
      <w:bookmarkStart w:id="17" w:name="_Toc348543367"/>
      <w:bookmarkEnd w:id="16"/>
      <w:r>
        <w:rPr>
          <w:sz w:val="24"/>
        </w:rPr>
        <w:t>B.1.</w:t>
      </w:r>
      <w:r w:rsidR="00172434">
        <w:rPr>
          <w:sz w:val="24"/>
        </w:rPr>
        <w:t>4</w:t>
      </w:r>
      <w:r w:rsidR="00DD6EA5" w:rsidRPr="00F71A65">
        <w:rPr>
          <w:sz w:val="24"/>
        </w:rPr>
        <w:t>.</w:t>
      </w:r>
      <w:r w:rsidR="003D0C5B">
        <w:rPr>
          <w:sz w:val="24"/>
        </w:rPr>
        <w:t xml:space="preserve">  </w:t>
      </w:r>
      <w:r w:rsidR="00DD6EA5" w:rsidRPr="00F71A65">
        <w:rPr>
          <w:sz w:val="24"/>
        </w:rPr>
        <w:t>Use Cases:</w:t>
      </w:r>
      <w:bookmarkEnd w:id="17"/>
      <w:r w:rsidR="00DD6EA5" w:rsidRPr="00F71A65">
        <w:rPr>
          <w:sz w:val="24"/>
        </w:rPr>
        <w:t xml:space="preserve"> </w:t>
      </w:r>
    </w:p>
    <w:p w14:paraId="1C868EB1" w14:textId="4520EB65" w:rsidR="00780945" w:rsidRDefault="00DD6EA5">
      <w:pPr>
        <w:pStyle w:val="normal0"/>
        <w:ind w:left="720"/>
        <w:rPr>
          <w:rFonts w:ascii="Arial" w:eastAsia="Arial" w:hAnsi="Arial" w:cs="Arial"/>
        </w:rPr>
      </w:pPr>
      <w:r>
        <w:t xml:space="preserve">All Monitoring Practices and uses of data collected by those Monitoring Practices shall be restricted to the use cases documented in the Monitoring Practice Balancing Analysis and must consider and document the privacy impact generally and, at a minimum, in each of the following separate categories, and also document actions that will be taken to mitigate privacy impact. </w:t>
      </w:r>
      <w:r>
        <w:rPr>
          <w:u w:val="single"/>
        </w:rPr>
        <w:t>Privacy Objective</w:t>
      </w:r>
      <w:r>
        <w:t>: Ensure that privacy is appropriately evaluated for all uses of monitoring data.</w:t>
      </w:r>
    </w:p>
    <w:p w14:paraId="4E1BD2BA" w14:textId="59BC204A" w:rsidR="00780945" w:rsidRDefault="00222467" w:rsidP="00F71A65">
      <w:pPr>
        <w:pStyle w:val="Heading5"/>
      </w:pPr>
      <w:bookmarkStart w:id="18" w:name="h.3wb7e4u7jtgt" w:colFirst="0" w:colLast="0"/>
      <w:bookmarkStart w:id="19" w:name="_Toc348543368"/>
      <w:bookmarkEnd w:id="18"/>
      <w:r w:rsidRPr="00222467">
        <w:lastRenderedPageBreak/>
        <w:t>B.1.</w:t>
      </w:r>
      <w:r w:rsidR="00172434">
        <w:t>4</w:t>
      </w:r>
      <w:r w:rsidR="003D0C5B">
        <w:t xml:space="preserve">.a.  </w:t>
      </w:r>
      <w:r w:rsidR="00DD6EA5">
        <w:t>Operational Use:</w:t>
      </w:r>
      <w:bookmarkEnd w:id="19"/>
      <w:r w:rsidR="00DD6EA5">
        <w:t xml:space="preserve"> </w:t>
      </w:r>
    </w:p>
    <w:p w14:paraId="64328AC8" w14:textId="37C29A9C" w:rsidR="00780945" w:rsidRDefault="00DD6EA5">
      <w:pPr>
        <w:pStyle w:val="normal0"/>
        <w:ind w:left="1800"/>
        <w:rPr>
          <w:rFonts w:ascii="Arial" w:eastAsia="Arial" w:hAnsi="Arial" w:cs="Arial"/>
        </w:rPr>
      </w:pPr>
      <w:r>
        <w:t>The planned routine operational use(s) for monitoring must be defined and described in the Monitoring Practice Balancing Analysis.</w:t>
      </w:r>
    </w:p>
    <w:p w14:paraId="7E20E7A8" w14:textId="3CE62BCE" w:rsidR="00780945" w:rsidRDefault="00222467" w:rsidP="00F71A65">
      <w:pPr>
        <w:pStyle w:val="Heading5"/>
      </w:pPr>
      <w:bookmarkStart w:id="20" w:name="h.iknp89j89euw" w:colFirst="0" w:colLast="0"/>
      <w:bookmarkStart w:id="21" w:name="_Toc348543369"/>
      <w:bookmarkEnd w:id="20"/>
      <w:r w:rsidRPr="00222467">
        <w:t>B.1.</w:t>
      </w:r>
      <w:r w:rsidR="00172434">
        <w:t>4</w:t>
      </w:r>
      <w:r w:rsidR="003D0C5B">
        <w:t xml:space="preserve">.b.  </w:t>
      </w:r>
      <w:r w:rsidR="00DD6EA5">
        <w:t>Non-Routine Use:</w:t>
      </w:r>
      <w:bookmarkEnd w:id="21"/>
      <w:r w:rsidR="00DD6EA5">
        <w:t xml:space="preserve"> </w:t>
      </w:r>
    </w:p>
    <w:p w14:paraId="553921E1" w14:textId="0447F352" w:rsidR="00A43956" w:rsidRDefault="00DD6EA5">
      <w:pPr>
        <w:pStyle w:val="normal0"/>
        <w:ind w:left="1800"/>
      </w:pPr>
      <w:r>
        <w:t xml:space="preserve">Non-Routine but anticipated uses of monitoring data beyond Operational Use must also be articulated in the Monitoring Practice Balancing Analysis for review and approval. Escalation procedures to document </w:t>
      </w:r>
      <w:r w:rsidR="00C5514E">
        <w:t xml:space="preserve">and obtain approval for </w:t>
      </w:r>
      <w:r>
        <w:t xml:space="preserve">non-routine use </w:t>
      </w:r>
      <w:r w:rsidR="00C5514E">
        <w:t xml:space="preserve">in order to </w:t>
      </w:r>
      <w:r>
        <w:t xml:space="preserve">prevent </w:t>
      </w:r>
      <w:proofErr w:type="spellStart"/>
      <w:r>
        <w:t>routinization</w:t>
      </w:r>
      <w:proofErr w:type="spellEnd"/>
      <w:r>
        <w:t xml:space="preserve"> of such use must be specified, (e.g., </w:t>
      </w:r>
    </w:p>
    <w:p w14:paraId="0EC3AD04" w14:textId="77777777" w:rsidR="00A43956" w:rsidRDefault="00A43956">
      <w:pPr>
        <w:pStyle w:val="normal0"/>
        <w:ind w:left="1800"/>
      </w:pPr>
    </w:p>
    <w:p w14:paraId="6AAD32AB" w14:textId="574E50DA" w:rsidR="00A43956" w:rsidRDefault="00DD6EA5" w:rsidP="00F71A65">
      <w:pPr>
        <w:pStyle w:val="normal0"/>
        <w:ind w:left="2160" w:firstLine="360"/>
      </w:pPr>
      <w:r>
        <w:t xml:space="preserve">Prior to accessing monitoring data for a Non-Routine Use the responsible monitoring party must declare the Non-Routine Use by notifying the Campus Privacy Officer (CPO) at </w:t>
      </w:r>
      <w:hyperlink r:id="rId10">
        <w:r>
          <w:rPr>
            <w:color w:val="1155CC"/>
            <w:u w:val="single"/>
          </w:rPr>
          <w:t>PrivacyOffice@berkeley.edu</w:t>
        </w:r>
      </w:hyperlink>
      <w:r w:rsidR="00C5514E">
        <w:t xml:space="preserve">; </w:t>
      </w:r>
      <w:r w:rsidR="006B756A">
        <w:t xml:space="preserve">or </w:t>
      </w:r>
    </w:p>
    <w:p w14:paraId="57095A97" w14:textId="7280A0A5" w:rsidR="00A43956" w:rsidRDefault="006B756A" w:rsidP="00F71A65">
      <w:pPr>
        <w:pStyle w:val="normal0"/>
        <w:ind w:left="2160" w:firstLine="360"/>
      </w:pPr>
      <w:r>
        <w:t>Prior to accessing monitoring data for a Non-Routine Use, the monitoring party must o</w:t>
      </w:r>
      <w:r w:rsidR="00C5514E">
        <w:t>btain consent or ECP non-consensual access approvals</w:t>
      </w:r>
      <w:r w:rsidR="00DD6EA5">
        <w:t xml:space="preserve">) </w:t>
      </w:r>
    </w:p>
    <w:p w14:paraId="456E4A44" w14:textId="77777777" w:rsidR="00A43956" w:rsidRDefault="00A43956" w:rsidP="00F71A65">
      <w:pPr>
        <w:pStyle w:val="normal0"/>
        <w:ind w:left="2160" w:firstLine="360"/>
      </w:pPr>
    </w:p>
    <w:p w14:paraId="053B5BF0" w14:textId="1CE541AD" w:rsidR="00780945" w:rsidRDefault="00DD6EA5" w:rsidP="00F71A65">
      <w:pPr>
        <w:pStyle w:val="normal0"/>
        <w:ind w:left="1800" w:firstLine="360"/>
        <w:rPr>
          <w:rFonts w:ascii="Arial" w:eastAsia="Arial" w:hAnsi="Arial" w:cs="Arial"/>
        </w:rPr>
      </w:pPr>
      <w:r>
        <w:t>Non-Routine access must be logged and reported to IRGC annually. If the CPO disagrees with a non-routine use of data, escalation to IRGC for review and determination of binding principles for continued use of data is required.</w:t>
      </w:r>
    </w:p>
    <w:p w14:paraId="3145FE68" w14:textId="4A28A105" w:rsidR="00780945" w:rsidRDefault="00222467" w:rsidP="00F71A65">
      <w:pPr>
        <w:pStyle w:val="Heading5"/>
      </w:pPr>
      <w:bookmarkStart w:id="22" w:name="h.kb2fat1dciel" w:colFirst="0" w:colLast="0"/>
      <w:bookmarkStart w:id="23" w:name="_Toc348543370"/>
      <w:bookmarkEnd w:id="22"/>
      <w:r w:rsidRPr="00222467">
        <w:t>B.1.</w:t>
      </w:r>
      <w:r w:rsidR="00172434">
        <w:t>4</w:t>
      </w:r>
      <w:r w:rsidR="003D0C5B">
        <w:t xml:space="preserve">.c.  </w:t>
      </w:r>
      <w:r w:rsidR="00CB2474">
        <w:t xml:space="preserve">Required </w:t>
      </w:r>
      <w:r w:rsidR="00DD6EA5">
        <w:t>Legal</w:t>
      </w:r>
      <w:r w:rsidR="00CB2474">
        <w:t xml:space="preserve"> Disclosure</w:t>
      </w:r>
      <w:r w:rsidR="00DD6EA5">
        <w:t>:</w:t>
      </w:r>
      <w:bookmarkEnd w:id="23"/>
      <w:r w:rsidR="00DD6EA5">
        <w:t xml:space="preserve"> </w:t>
      </w:r>
    </w:p>
    <w:p w14:paraId="6DCD7752" w14:textId="48C19C13" w:rsidR="00780945" w:rsidRDefault="00DD6EA5" w:rsidP="00CB2474">
      <w:pPr>
        <w:pStyle w:val="normal0"/>
        <w:ind w:left="1800"/>
        <w:rPr>
          <w:rFonts w:ascii="Arial" w:eastAsia="Arial" w:hAnsi="Arial" w:cs="Arial"/>
        </w:rPr>
      </w:pPr>
      <w:proofErr w:type="gramStart"/>
      <w:r>
        <w:t>Disclosure as required by and consistent with law, e.g., in response to a valid subpoena, court order, public records request</w:t>
      </w:r>
      <w:r w:rsidR="00172434">
        <w:rPr>
          <w:rStyle w:val="FootnoteReference"/>
        </w:rPr>
        <w:footnoteReference w:id="2"/>
      </w:r>
      <w:r w:rsidR="00CB2474">
        <w:t>, or national security letter.</w:t>
      </w:r>
      <w:proofErr w:type="gramEnd"/>
      <w:r w:rsidR="00CB2474">
        <w:t xml:space="preserve"> </w:t>
      </w:r>
    </w:p>
    <w:p w14:paraId="4014E33A" w14:textId="4CD1EE38" w:rsidR="00780945" w:rsidRDefault="00222467" w:rsidP="00F71A65">
      <w:pPr>
        <w:pStyle w:val="Heading5"/>
      </w:pPr>
      <w:bookmarkStart w:id="24" w:name="h.swi4d8k94x4r" w:colFirst="0" w:colLast="0"/>
      <w:bookmarkStart w:id="25" w:name="_Toc348543371"/>
      <w:bookmarkEnd w:id="24"/>
      <w:r w:rsidRPr="00222467">
        <w:t>B.1.</w:t>
      </w:r>
      <w:r w:rsidR="00172434">
        <w:t>4</w:t>
      </w:r>
      <w:r w:rsidR="003D0C5B">
        <w:t xml:space="preserve">.d.  </w:t>
      </w:r>
      <w:r w:rsidR="00DD6EA5">
        <w:t>Significant and Exigent Circumstances:</w:t>
      </w:r>
      <w:bookmarkEnd w:id="25"/>
      <w:r w:rsidR="00DD6EA5">
        <w:t xml:space="preserve"> </w:t>
      </w:r>
    </w:p>
    <w:p w14:paraId="30CED7E9" w14:textId="77777777" w:rsidR="00780945" w:rsidRDefault="00DD6EA5">
      <w:pPr>
        <w:pStyle w:val="normal0"/>
        <w:ind w:left="1800"/>
        <w:rPr>
          <w:rFonts w:ascii="Arial" w:eastAsia="Arial" w:hAnsi="Arial" w:cs="Arial"/>
        </w:rPr>
      </w:pPr>
      <w:r>
        <w:t xml:space="preserve">Other uses and disclosures in significant and exigent circumstances with IRGC approval and with reliable evidence that failure to act would result in significant bodily harm or significant property loss. For time-sensitive needs, access may be granted pursuant to Campus procedures for non-consensual access established under the Electronic Communications Policy. </w:t>
      </w:r>
    </w:p>
    <w:p w14:paraId="033B87B5" w14:textId="784A0397" w:rsidR="00780945" w:rsidRDefault="00222467" w:rsidP="00F71A65">
      <w:pPr>
        <w:pStyle w:val="Heading5"/>
      </w:pPr>
      <w:bookmarkStart w:id="26" w:name="h.7bhyeby8sk46" w:colFirst="0" w:colLast="0"/>
      <w:bookmarkStart w:id="27" w:name="_Toc348543372"/>
      <w:bookmarkEnd w:id="26"/>
      <w:r w:rsidRPr="00222467">
        <w:t>B.1.</w:t>
      </w:r>
      <w:r w:rsidR="00172434">
        <w:t>4.e</w:t>
      </w:r>
      <w:r w:rsidR="003D0C5B">
        <w:t xml:space="preserve">.  </w:t>
      </w:r>
      <w:r w:rsidR="00DD6EA5">
        <w:t>Internal Abuse</w:t>
      </w:r>
      <w:bookmarkEnd w:id="27"/>
    </w:p>
    <w:p w14:paraId="621B7DCB" w14:textId="6F025E44" w:rsidR="00780945" w:rsidRDefault="00A43956">
      <w:pPr>
        <w:pStyle w:val="normal0"/>
        <w:ind w:left="1800"/>
        <w:rPr>
          <w:rFonts w:ascii="Arial" w:eastAsia="Arial" w:hAnsi="Arial" w:cs="Arial"/>
        </w:rPr>
      </w:pPr>
      <w:proofErr w:type="gramStart"/>
      <w:r>
        <w:t xml:space="preserve">Misuse </w:t>
      </w:r>
      <w:r w:rsidR="00DD6EA5">
        <w:t>of the data within the monitoring unit.</w:t>
      </w:r>
      <w:proofErr w:type="gramEnd"/>
    </w:p>
    <w:p w14:paraId="74A86A99" w14:textId="107F9423" w:rsidR="00780945" w:rsidRDefault="00543E12" w:rsidP="00F71A65">
      <w:pPr>
        <w:pStyle w:val="Heading5"/>
      </w:pPr>
      <w:bookmarkStart w:id="28" w:name="h.5urp1i9m7kws" w:colFirst="0" w:colLast="0"/>
      <w:bookmarkStart w:id="29" w:name="_Toc348543373"/>
      <w:bookmarkEnd w:id="28"/>
      <w:r>
        <w:lastRenderedPageBreak/>
        <w:t>B.1.</w:t>
      </w:r>
      <w:r w:rsidR="00172434">
        <w:t>4.f</w:t>
      </w:r>
      <w:r w:rsidR="003D0C5B">
        <w:t xml:space="preserve">.  </w:t>
      </w:r>
      <w:r w:rsidR="00A43956">
        <w:t xml:space="preserve">Unauthorized </w:t>
      </w:r>
      <w:r w:rsidR="00DD6EA5">
        <w:t>Disclosure</w:t>
      </w:r>
      <w:bookmarkEnd w:id="29"/>
      <w:r w:rsidR="00DD6EA5">
        <w:t xml:space="preserve"> </w:t>
      </w:r>
    </w:p>
    <w:p w14:paraId="2D4F4843" w14:textId="1CDE2422" w:rsidR="00780945" w:rsidRDefault="00A43956">
      <w:pPr>
        <w:pStyle w:val="normal0"/>
        <w:ind w:left="1800"/>
        <w:rPr>
          <w:rFonts w:ascii="Arial" w:eastAsia="Arial" w:hAnsi="Arial" w:cs="Arial"/>
        </w:rPr>
      </w:pPr>
      <w:r>
        <w:t xml:space="preserve">Accidental disclosure </w:t>
      </w:r>
      <w:r w:rsidR="00DD6EA5">
        <w:t>of the data such as via unauthorized access</w:t>
      </w:r>
      <w:r>
        <w:t xml:space="preserve"> </w:t>
      </w:r>
      <w:r w:rsidR="00DD6EA5">
        <w:t>to systems holding the monitoring data</w:t>
      </w:r>
      <w:r>
        <w:t xml:space="preserve"> (e.g., hacking, theft, inappropriate security configurations.)</w:t>
      </w:r>
    </w:p>
    <w:p w14:paraId="0721176D" w14:textId="0962AFD3" w:rsidR="00780945" w:rsidRPr="00F71A65" w:rsidRDefault="00222467" w:rsidP="004C23B2">
      <w:pPr>
        <w:pStyle w:val="Heading4"/>
        <w:ind w:hanging="360"/>
        <w:contextualSpacing w:val="0"/>
        <w:rPr>
          <w:sz w:val="24"/>
          <w:szCs w:val="24"/>
        </w:rPr>
      </w:pPr>
      <w:bookmarkStart w:id="30" w:name="h.neubqisqa5wb" w:colFirst="0" w:colLast="0"/>
      <w:bookmarkStart w:id="31" w:name="h.8y8y01bfeipq" w:colFirst="0" w:colLast="0"/>
      <w:bookmarkStart w:id="32" w:name="_Toc348543375"/>
      <w:bookmarkEnd w:id="30"/>
      <w:bookmarkEnd w:id="31"/>
      <w:r>
        <w:rPr>
          <w:sz w:val="24"/>
        </w:rPr>
        <w:t>B.1</w:t>
      </w:r>
      <w:r w:rsidR="00DD6EA5" w:rsidRPr="00F71A65">
        <w:rPr>
          <w:sz w:val="24"/>
          <w:szCs w:val="24"/>
        </w:rPr>
        <w:t>.</w:t>
      </w:r>
      <w:r w:rsidR="00172434" w:rsidRPr="00172434">
        <w:rPr>
          <w:sz w:val="24"/>
          <w:szCs w:val="24"/>
        </w:rPr>
        <w:t>5</w:t>
      </w:r>
      <w:r w:rsidR="003D0C5B" w:rsidRPr="00F71A65">
        <w:rPr>
          <w:sz w:val="24"/>
          <w:szCs w:val="24"/>
        </w:rPr>
        <w:t xml:space="preserve">.  </w:t>
      </w:r>
      <w:r w:rsidR="00DD6EA5" w:rsidRPr="00F71A65">
        <w:rPr>
          <w:sz w:val="24"/>
          <w:szCs w:val="24"/>
        </w:rPr>
        <w:t>Least Perusal:</w:t>
      </w:r>
      <w:bookmarkEnd w:id="32"/>
      <w:r w:rsidR="00DD6EA5" w:rsidRPr="00F71A65">
        <w:rPr>
          <w:sz w:val="24"/>
          <w:szCs w:val="24"/>
        </w:rPr>
        <w:t xml:space="preserve"> </w:t>
      </w:r>
    </w:p>
    <w:p w14:paraId="73B3937E" w14:textId="56DA59D9" w:rsidR="00780945" w:rsidRDefault="00DD6EA5" w:rsidP="00F20406">
      <w:pPr>
        <w:pStyle w:val="normal0"/>
        <w:ind w:left="720"/>
      </w:pPr>
      <w:r>
        <w:rPr>
          <w:u w:val="single"/>
        </w:rPr>
        <w:t>Privacy Objective</w:t>
      </w:r>
      <w:r>
        <w:t>: Employ the least invasive access to data necessary for meeting stated objectives</w:t>
      </w:r>
      <w:r w:rsidR="00CB2474">
        <w:t>.</w:t>
      </w:r>
      <w:r>
        <w:t xml:space="preserve"> </w:t>
      </w:r>
      <w:r w:rsidR="00CB2474">
        <w:t>T</w:t>
      </w:r>
      <w:r>
        <w:t xml:space="preserve">his favors automated analysis over manual perusal when possible. </w:t>
      </w:r>
    </w:p>
    <w:p w14:paraId="2D1E2D6D" w14:textId="5B059DA4" w:rsidR="00780945" w:rsidRDefault="00543E12" w:rsidP="00F71A65">
      <w:pPr>
        <w:pStyle w:val="Heading5"/>
        <w:ind w:firstLine="720"/>
        <w:contextualSpacing w:val="0"/>
      </w:pPr>
      <w:bookmarkStart w:id="33" w:name="h.8i3tv1po9fhm" w:colFirst="0" w:colLast="0"/>
      <w:bookmarkStart w:id="34" w:name="_Toc348543376"/>
      <w:bookmarkEnd w:id="33"/>
      <w:r w:rsidRPr="00543E12">
        <w:t>B.1.</w:t>
      </w:r>
      <w:r w:rsidR="00172434">
        <w:t>5</w:t>
      </w:r>
      <w:r w:rsidR="003D0C5B">
        <w:t xml:space="preserve">.a.  </w:t>
      </w:r>
      <w:r w:rsidR="00DD6EA5">
        <w:t>Data Element Specification:</w:t>
      </w:r>
      <w:bookmarkEnd w:id="34"/>
      <w:r w:rsidR="00DD6EA5">
        <w:t xml:space="preserve"> </w:t>
      </w:r>
    </w:p>
    <w:p w14:paraId="29266254" w14:textId="51897E38" w:rsidR="00780945" w:rsidRDefault="00DD6EA5">
      <w:pPr>
        <w:pStyle w:val="normal0"/>
        <w:ind w:left="1440"/>
      </w:pPr>
      <w:r>
        <w:t>Each element of examined and retained data must be specified in the Monitoring Practices Balancing Analysis.</w:t>
      </w:r>
    </w:p>
    <w:p w14:paraId="0AD284A2" w14:textId="44714156" w:rsidR="00780945" w:rsidRDefault="00543E12" w:rsidP="00F71A65">
      <w:pPr>
        <w:pStyle w:val="Heading5"/>
        <w:contextualSpacing w:val="0"/>
      </w:pPr>
      <w:bookmarkStart w:id="35" w:name="h.80fa7kin3u6g" w:colFirst="0" w:colLast="0"/>
      <w:bookmarkStart w:id="36" w:name="_Toc348543377"/>
      <w:bookmarkEnd w:id="35"/>
      <w:r w:rsidRPr="00543E12">
        <w:t>B.1.</w:t>
      </w:r>
      <w:r w:rsidR="00172434">
        <w:t>5</w:t>
      </w:r>
      <w:r w:rsidR="003D0C5B">
        <w:t xml:space="preserve">.b.  </w:t>
      </w:r>
      <w:r w:rsidR="00DD6EA5">
        <w:t>Metadata:</w:t>
      </w:r>
      <w:bookmarkEnd w:id="36"/>
      <w:r w:rsidR="00DD6EA5">
        <w:t xml:space="preserve"> </w:t>
      </w:r>
    </w:p>
    <w:p w14:paraId="376CE6A2" w14:textId="0A94BB6F" w:rsidR="00780945" w:rsidRDefault="00CB2474">
      <w:pPr>
        <w:pStyle w:val="normal0"/>
        <w:ind w:left="1440"/>
      </w:pPr>
      <w:r>
        <w:t>Balancing Analysis</w:t>
      </w:r>
      <w:r w:rsidR="00DD6EA5">
        <w:t xml:space="preserve"> must </w:t>
      </w:r>
      <w:r w:rsidR="00946447">
        <w:t>include</w:t>
      </w:r>
      <w:r w:rsidR="00DD6EA5">
        <w:t xml:space="preserve"> metadata, as </w:t>
      </w:r>
      <w:r w:rsidR="00946447">
        <w:t xml:space="preserve">the </w:t>
      </w:r>
      <w:r w:rsidR="00DD6EA5">
        <w:t xml:space="preserve">distinction </w:t>
      </w:r>
      <w:r w:rsidR="00946447">
        <w:t xml:space="preserve">between data and metadata </w:t>
      </w:r>
      <w:r w:rsidR="00DD6EA5">
        <w:t xml:space="preserve">is not valid in a privacy context. </w:t>
      </w:r>
      <w:r>
        <w:t>Balancing Analysis</w:t>
      </w:r>
      <w:r w:rsidR="00DD6EA5">
        <w:t xml:space="preserve"> must assume all available data collected can be combined and correlated.</w:t>
      </w:r>
    </w:p>
    <w:p w14:paraId="1EF56953" w14:textId="200FE15E" w:rsidR="00780945" w:rsidRPr="00F71A65" w:rsidRDefault="00222467" w:rsidP="004C23B2">
      <w:pPr>
        <w:pStyle w:val="Heading4"/>
        <w:ind w:hanging="360"/>
        <w:contextualSpacing w:val="0"/>
        <w:rPr>
          <w:sz w:val="24"/>
        </w:rPr>
      </w:pPr>
      <w:bookmarkStart w:id="37" w:name="h.d6nuvucume0o" w:colFirst="0" w:colLast="0"/>
      <w:bookmarkStart w:id="38" w:name="_Toc348543378"/>
      <w:bookmarkEnd w:id="37"/>
      <w:r>
        <w:rPr>
          <w:sz w:val="24"/>
        </w:rPr>
        <w:t>B.1.</w:t>
      </w:r>
      <w:r w:rsidR="00172434">
        <w:rPr>
          <w:sz w:val="24"/>
        </w:rPr>
        <w:t>6</w:t>
      </w:r>
      <w:r w:rsidR="00543E12">
        <w:rPr>
          <w:sz w:val="24"/>
        </w:rPr>
        <w:t>.</w:t>
      </w:r>
      <w:r w:rsidR="003D0C5B">
        <w:rPr>
          <w:sz w:val="24"/>
        </w:rPr>
        <w:t xml:space="preserve">  </w:t>
      </w:r>
      <w:r w:rsidR="00DD6EA5" w:rsidRPr="00F71A65">
        <w:rPr>
          <w:sz w:val="24"/>
        </w:rPr>
        <w:t>Least Disclosure:</w:t>
      </w:r>
      <w:bookmarkEnd w:id="38"/>
      <w:r w:rsidR="00DD6EA5" w:rsidRPr="00F71A65">
        <w:rPr>
          <w:sz w:val="24"/>
        </w:rPr>
        <w:t xml:space="preserve"> </w:t>
      </w:r>
    </w:p>
    <w:p w14:paraId="554964AD" w14:textId="33D9DCE4" w:rsidR="00780945" w:rsidRDefault="00DD6EA5">
      <w:pPr>
        <w:pStyle w:val="normal0"/>
        <w:ind w:left="720"/>
      </w:pPr>
      <w:r>
        <w:rPr>
          <w:u w:val="single"/>
        </w:rPr>
        <w:t>Privacy Objective</w:t>
      </w:r>
      <w:r>
        <w:t xml:space="preserve">: Disclosure of monitoring data will be minimized to the least amount necessary for meeting stated functional objectives. </w:t>
      </w:r>
    </w:p>
    <w:p w14:paraId="76175DAD" w14:textId="361EADB3" w:rsidR="00780945" w:rsidRDefault="00543E12" w:rsidP="00F71A65">
      <w:pPr>
        <w:pStyle w:val="Heading5"/>
        <w:contextualSpacing w:val="0"/>
      </w:pPr>
      <w:bookmarkStart w:id="39" w:name="h.4lpsoqvasgyl" w:colFirst="0" w:colLast="0"/>
      <w:bookmarkStart w:id="40" w:name="_Toc348543379"/>
      <w:bookmarkEnd w:id="39"/>
      <w:r w:rsidRPr="00543E12">
        <w:t>B.1.</w:t>
      </w:r>
      <w:r w:rsidR="00172434">
        <w:t>6</w:t>
      </w:r>
      <w:r w:rsidR="003D0C5B">
        <w:t xml:space="preserve">.a.  </w:t>
      </w:r>
      <w:r w:rsidR="00DD6EA5">
        <w:t>Disclosure to Partners Outside of Monitoring Unit:</w:t>
      </w:r>
      <w:bookmarkEnd w:id="40"/>
      <w:r w:rsidR="00DD6EA5">
        <w:t xml:space="preserve"> </w:t>
      </w:r>
    </w:p>
    <w:p w14:paraId="178DDF16" w14:textId="77777777" w:rsidR="00780945" w:rsidRDefault="00DD6EA5">
      <w:pPr>
        <w:pStyle w:val="normal0"/>
        <w:ind w:left="1440"/>
        <w:rPr>
          <w:rFonts w:ascii="Arial" w:eastAsia="Arial" w:hAnsi="Arial" w:cs="Arial"/>
        </w:rPr>
      </w:pPr>
      <w:r>
        <w:t>When disclosing data to partners, the unit that is granted permission to monitor by IRGC is responsible for establishing and enforcing agreements to ensure that data handling practices comply with this policy and IRGC approved practices. The monitoring party is responsible for educating data recipients on data handling principles (e.g., least perusal, least disclosure, use restriction, etc.). This includes data in tickets and emails sent out for incident notification that collect in mailboxes and tracking systems.</w:t>
      </w:r>
    </w:p>
    <w:p w14:paraId="70CF6B8E" w14:textId="745D8ED9" w:rsidR="00780945" w:rsidRDefault="00DD6EA5" w:rsidP="003D0C5B">
      <w:pPr>
        <w:pStyle w:val="normal0"/>
        <w:numPr>
          <w:ilvl w:val="2"/>
          <w:numId w:val="6"/>
        </w:numPr>
        <w:ind w:left="2160"/>
        <w:contextualSpacing/>
      </w:pPr>
      <w:r>
        <w:t xml:space="preserve">Binding contract provisions </w:t>
      </w:r>
      <w:r w:rsidR="00114AB5">
        <w:t xml:space="preserve">must </w:t>
      </w:r>
      <w:r>
        <w:t xml:space="preserve">require that vendor activity protect privacy and comply with campus monitoring requirements and conditions. </w:t>
      </w:r>
    </w:p>
    <w:p w14:paraId="42DA9DAB" w14:textId="26276EFC" w:rsidR="00780945" w:rsidRDefault="00DD6EA5" w:rsidP="003D0C5B">
      <w:pPr>
        <w:pStyle w:val="normal0"/>
        <w:numPr>
          <w:ilvl w:val="2"/>
          <w:numId w:val="6"/>
        </w:numPr>
        <w:ind w:left="2160"/>
        <w:contextualSpacing/>
      </w:pPr>
      <w:r>
        <w:t xml:space="preserve">Vendor's use of data </w:t>
      </w:r>
      <w:r w:rsidR="00114AB5">
        <w:t>must be</w:t>
      </w:r>
      <w:r>
        <w:t xml:space="preserve"> limited to UCB benefit and no vendor data storage unless absolutely necessary for UCB benefit and only with IRGC approval. </w:t>
      </w:r>
    </w:p>
    <w:p w14:paraId="71B52750" w14:textId="11A2C7AB" w:rsidR="00780945" w:rsidRDefault="00DD6EA5" w:rsidP="003D0C5B">
      <w:pPr>
        <w:pStyle w:val="normal0"/>
        <w:numPr>
          <w:ilvl w:val="2"/>
          <w:numId w:val="6"/>
        </w:numPr>
        <w:ind w:left="2160"/>
        <w:contextualSpacing/>
      </w:pPr>
      <w:r>
        <w:t xml:space="preserve">Any external </w:t>
      </w:r>
      <w:r w:rsidR="00114AB5">
        <w:t xml:space="preserve">legal </w:t>
      </w:r>
      <w:r>
        <w:t>(e.g., law enforcement, including UCPD</w:t>
      </w:r>
      <w:r w:rsidR="00114AB5">
        <w:t>, or public records</w:t>
      </w:r>
      <w:r>
        <w:t xml:space="preserve">) requests for data must be referred to UCB Office of Legal Affairs for review of </w:t>
      </w:r>
      <w:r w:rsidR="00114AB5">
        <w:t>the request’s validity.</w:t>
      </w:r>
      <w:r w:rsidR="00CB2474">
        <w:t xml:space="preserve"> </w:t>
      </w:r>
      <w:proofErr w:type="gramStart"/>
      <w:r w:rsidR="00114AB5">
        <w:t>Other requests must be reviewed by the Privacy Office</w:t>
      </w:r>
      <w:proofErr w:type="gramEnd"/>
      <w:r w:rsidR="00114AB5">
        <w:t>.</w:t>
      </w:r>
    </w:p>
    <w:p w14:paraId="434D081C" w14:textId="0F3CB1DF" w:rsidR="00780945" w:rsidRDefault="00543E12" w:rsidP="00F71A65">
      <w:pPr>
        <w:pStyle w:val="Heading5"/>
        <w:contextualSpacing w:val="0"/>
      </w:pPr>
      <w:bookmarkStart w:id="41" w:name="h.79cbqmjmkjjw" w:colFirst="0" w:colLast="0"/>
      <w:bookmarkStart w:id="42" w:name="_Toc348543380"/>
      <w:bookmarkEnd w:id="41"/>
      <w:r w:rsidRPr="00543E12">
        <w:t>B.1.</w:t>
      </w:r>
      <w:r w:rsidR="00172434">
        <w:t>6</w:t>
      </w:r>
      <w:r w:rsidR="00F20406">
        <w:t>.b</w:t>
      </w:r>
      <w:r w:rsidR="003D0C5B">
        <w:t xml:space="preserve">. </w:t>
      </w:r>
      <w:r w:rsidR="00DD6EA5">
        <w:t>Disclosure Escalation Path:</w:t>
      </w:r>
      <w:bookmarkEnd w:id="42"/>
      <w:r w:rsidR="00DD6EA5">
        <w:t xml:space="preserve"> </w:t>
      </w:r>
    </w:p>
    <w:p w14:paraId="5305BC7B" w14:textId="464507A6" w:rsidR="00780945" w:rsidRDefault="00DD6EA5">
      <w:pPr>
        <w:pStyle w:val="normal0"/>
        <w:ind w:left="1440"/>
      </w:pPr>
      <w:r>
        <w:t xml:space="preserve">When monitoring identifies situations requiring disclosure (e.g., security incidents) the monitoring party is required to first contact the concerned individual(s) unless otherwise defined and justified in the Monitoring Practice Balancing Analysis. Depending on the urgency of the situation, if the individual is not known, not available, or not responsive, the </w:t>
      </w:r>
      <w:r>
        <w:lastRenderedPageBreak/>
        <w:t xml:space="preserve">monitoring party will contact the next closest identified contact as defined in the Monitoring Practice Balancing Analysis. </w:t>
      </w:r>
    </w:p>
    <w:p w14:paraId="53948BCD" w14:textId="298E363A" w:rsidR="00780945" w:rsidRPr="00F71A65" w:rsidRDefault="00543E12" w:rsidP="004C23B2">
      <w:pPr>
        <w:pStyle w:val="Heading4"/>
        <w:ind w:hanging="360"/>
        <w:contextualSpacing w:val="0"/>
        <w:rPr>
          <w:sz w:val="24"/>
        </w:rPr>
      </w:pPr>
      <w:bookmarkStart w:id="43" w:name="h.64gfb35fv4m8" w:colFirst="0" w:colLast="0"/>
      <w:bookmarkStart w:id="44" w:name="_Toc348543381"/>
      <w:bookmarkEnd w:id="43"/>
      <w:r w:rsidRPr="00543E12">
        <w:rPr>
          <w:sz w:val="24"/>
        </w:rPr>
        <w:t>B.1.</w:t>
      </w:r>
      <w:r w:rsidR="00172434" w:rsidRPr="00172434">
        <w:rPr>
          <w:sz w:val="24"/>
        </w:rPr>
        <w:t>7</w:t>
      </w:r>
      <w:r w:rsidR="00DD6EA5" w:rsidRPr="00F71A65">
        <w:rPr>
          <w:sz w:val="24"/>
        </w:rPr>
        <w:t>.</w:t>
      </w:r>
      <w:r w:rsidR="00DD6EA5" w:rsidRPr="00F71A65">
        <w:rPr>
          <w:sz w:val="24"/>
        </w:rPr>
        <w:tab/>
        <w:t>Minimal Retention:</w:t>
      </w:r>
      <w:bookmarkEnd w:id="44"/>
      <w:r w:rsidR="00DD6EA5" w:rsidRPr="00F71A65">
        <w:rPr>
          <w:sz w:val="24"/>
        </w:rPr>
        <w:t xml:space="preserve"> </w:t>
      </w:r>
    </w:p>
    <w:p w14:paraId="1930CF0B" w14:textId="5120CA47" w:rsidR="00780945" w:rsidRDefault="00DD6EA5">
      <w:pPr>
        <w:pStyle w:val="normal0"/>
        <w:ind w:left="720"/>
      </w:pPr>
      <w:r>
        <w:t xml:space="preserve">The Monitoring Practice Balancing Analysis must specify the retention period for each element of retained data. </w:t>
      </w:r>
      <w:r>
        <w:rPr>
          <w:u w:val="single"/>
        </w:rPr>
        <w:t>Privacy Objective</w:t>
      </w:r>
      <w:r>
        <w:t>: Data is retained only as long as needed to meet stated objectives (i.e., shorter is better: if keeping for X</w:t>
      </w:r>
      <w:r w:rsidR="009C4E69">
        <w:t xml:space="preserve"> amount of time</w:t>
      </w:r>
      <w:r>
        <w:t xml:space="preserve">, must have a justification why X/2 is not sufficient.) Data stored is data that can be misused or </w:t>
      </w:r>
      <w:proofErr w:type="gramStart"/>
      <w:r>
        <w:t>compelled to be disclosed</w:t>
      </w:r>
      <w:proofErr w:type="gramEnd"/>
      <w:r>
        <w:t xml:space="preserve">. </w:t>
      </w:r>
    </w:p>
    <w:p w14:paraId="7F5BD0EF" w14:textId="0C10EF50" w:rsidR="00780945" w:rsidRPr="00F71A65" w:rsidRDefault="00543E12" w:rsidP="004C23B2">
      <w:pPr>
        <w:pStyle w:val="Heading4"/>
        <w:ind w:hanging="360"/>
        <w:contextualSpacing w:val="0"/>
        <w:rPr>
          <w:sz w:val="24"/>
        </w:rPr>
      </w:pPr>
      <w:bookmarkStart w:id="45" w:name="h.eueldp89a0sh" w:colFirst="0" w:colLast="0"/>
      <w:bookmarkStart w:id="46" w:name="_Toc348543382"/>
      <w:bookmarkEnd w:id="45"/>
      <w:r w:rsidRPr="00543E12">
        <w:rPr>
          <w:sz w:val="24"/>
        </w:rPr>
        <w:t>B.1.</w:t>
      </w:r>
      <w:r w:rsidR="00172434">
        <w:rPr>
          <w:sz w:val="24"/>
        </w:rPr>
        <w:t>8</w:t>
      </w:r>
      <w:r w:rsidR="00DD6EA5" w:rsidRPr="00F71A65">
        <w:rPr>
          <w:sz w:val="24"/>
        </w:rPr>
        <w:t>.</w:t>
      </w:r>
      <w:r w:rsidR="00DD6EA5" w:rsidRPr="00F71A65">
        <w:rPr>
          <w:sz w:val="24"/>
        </w:rPr>
        <w:tab/>
        <w:t>Data Security:</w:t>
      </w:r>
      <w:bookmarkEnd w:id="46"/>
      <w:r w:rsidR="00DD6EA5" w:rsidRPr="00F71A65">
        <w:rPr>
          <w:sz w:val="24"/>
        </w:rPr>
        <w:t xml:space="preserve"> </w:t>
      </w:r>
    </w:p>
    <w:p w14:paraId="3C985386" w14:textId="0C0DE7AF" w:rsidR="00780945" w:rsidRDefault="2B533CF7">
      <w:pPr>
        <w:pStyle w:val="normal0"/>
        <w:ind w:left="720"/>
      </w:pPr>
      <w:r>
        <w:t xml:space="preserve">The </w:t>
      </w:r>
      <w:r w:rsidR="009C4E69">
        <w:t>Balancing Analysis</w:t>
      </w:r>
      <w:r>
        <w:t xml:space="preserve"> must validate that units conducting monitoring have a documented and resourced plan for securing data, training staff in the proper use and handling of data, and applying strong sanctions for misuse or failure to follow handling procedures. </w:t>
      </w:r>
      <w:r w:rsidRPr="2B533CF7">
        <w:rPr>
          <w:u w:val="single"/>
        </w:rPr>
        <w:t>Privacy Objective</w:t>
      </w:r>
      <w:r>
        <w:t xml:space="preserve">: Collected data must be protected from inappropriate and unapproved access and use. </w:t>
      </w:r>
    </w:p>
    <w:p w14:paraId="6AC695D5" w14:textId="00B9881D" w:rsidR="0098374A" w:rsidRPr="00F70C04" w:rsidRDefault="00543E12" w:rsidP="004C23B2">
      <w:pPr>
        <w:pStyle w:val="Heading4"/>
        <w:ind w:hanging="360"/>
        <w:contextualSpacing w:val="0"/>
      </w:pPr>
      <w:r>
        <w:rPr>
          <w:sz w:val="24"/>
        </w:rPr>
        <w:t>B.1.</w:t>
      </w:r>
      <w:r w:rsidRPr="004C23B2">
        <w:rPr>
          <w:sz w:val="24"/>
        </w:rPr>
        <w:t xml:space="preserve">9 </w:t>
      </w:r>
      <w:r w:rsidR="0098374A" w:rsidRPr="004C23B2">
        <w:rPr>
          <w:sz w:val="24"/>
        </w:rPr>
        <w:t>Transparency</w:t>
      </w:r>
      <w:r>
        <w:rPr>
          <w:sz w:val="24"/>
        </w:rPr>
        <w:t xml:space="preserve"> and Accountability</w:t>
      </w:r>
    </w:p>
    <w:p w14:paraId="61B60407" w14:textId="30A38484" w:rsidR="00543E12" w:rsidRDefault="00543E12" w:rsidP="004C23B2">
      <w:pPr>
        <w:pStyle w:val="Heading5"/>
      </w:pPr>
      <w:r>
        <w:t>B.1.9.a.  Notice</w:t>
      </w:r>
    </w:p>
    <w:p w14:paraId="1EC55BE2" w14:textId="77777777" w:rsidR="00543E12" w:rsidRDefault="00543E12" w:rsidP="004C23B2">
      <w:pPr>
        <w:pStyle w:val="normal0"/>
        <w:ind w:left="1440"/>
      </w:pPr>
      <w:r>
        <w:t>Each unit conducting Monitoring Practices must publish general information about their Monitoring Practices to their users, and submit to IRGC the planned and final location and text of this notice for review and approval.</w:t>
      </w:r>
    </w:p>
    <w:p w14:paraId="05A3385D" w14:textId="77777777" w:rsidR="00543E12" w:rsidRDefault="00543E12" w:rsidP="0098374A">
      <w:pPr>
        <w:pStyle w:val="Heading3"/>
        <w:contextualSpacing w:val="0"/>
        <w:rPr>
          <w:szCs w:val="24"/>
        </w:rPr>
      </w:pPr>
    </w:p>
    <w:p w14:paraId="3BD647C3" w14:textId="747DC520" w:rsidR="0098374A" w:rsidRDefault="00543E12" w:rsidP="004C23B2">
      <w:pPr>
        <w:pStyle w:val="Heading5"/>
      </w:pPr>
      <w:r>
        <w:t>B.1.9.b.</w:t>
      </w:r>
      <w:r w:rsidR="0098374A" w:rsidRPr="00F70C04">
        <w:t xml:space="preserve">  Reporting </w:t>
      </w:r>
    </w:p>
    <w:p w14:paraId="27F90E99" w14:textId="7E7BAB94" w:rsidR="0098374A" w:rsidRDefault="0098374A" w:rsidP="004C23B2">
      <w:pPr>
        <w:pStyle w:val="normal0"/>
        <w:ind w:left="1440"/>
      </w:pPr>
      <w:r>
        <w:t xml:space="preserve">In addition to notifying </w:t>
      </w:r>
      <w:hyperlink r:id="rId11">
        <w:r w:rsidRPr="2B533CF7">
          <w:rPr>
            <w:color w:val="1155CC"/>
            <w:u w:val="single"/>
          </w:rPr>
          <w:t>privacyoffice@berkeley.edu</w:t>
        </w:r>
      </w:hyperlink>
      <w:r>
        <w:t xml:space="preserve"> prior to any non-routine access to monitoring data, units conducting monitoring must keep records of all non-routine access and submit an annual report of this information to IRGC. </w:t>
      </w:r>
    </w:p>
    <w:p w14:paraId="452E4E9B" w14:textId="0F9C53BE" w:rsidR="00543E12" w:rsidRDefault="00543E12" w:rsidP="004C23B2">
      <w:pPr>
        <w:pStyle w:val="Heading5"/>
      </w:pPr>
      <w:r>
        <w:t>B.1.9.c.</w:t>
      </w:r>
      <w:r w:rsidRPr="00F70C04">
        <w:t xml:space="preserve">  Compliance </w:t>
      </w:r>
    </w:p>
    <w:p w14:paraId="1C8A68E1" w14:textId="77777777" w:rsidR="00543E12" w:rsidRDefault="00543E12" w:rsidP="004C23B2">
      <w:pPr>
        <w:pStyle w:val="normal0"/>
        <w:ind w:left="1440"/>
      </w:pPr>
      <w:r>
        <w:t>Each Monitoring Practice Balancing Analysis must define procedures for ensuring ongoing compliance with this policy and the approved Monitoring Practices.</w:t>
      </w:r>
    </w:p>
    <w:p w14:paraId="18B1DE53" w14:textId="77777777" w:rsidR="0098374A" w:rsidRDefault="0098374A" w:rsidP="0098374A">
      <w:pPr>
        <w:rPr>
          <w:b/>
          <w:sz w:val="32"/>
          <w:szCs w:val="32"/>
        </w:rPr>
      </w:pPr>
      <w:r>
        <w:br w:type="page"/>
      </w:r>
    </w:p>
    <w:p w14:paraId="337D58DB" w14:textId="77777777" w:rsidR="0098374A" w:rsidRDefault="0098374A">
      <w:pPr>
        <w:pStyle w:val="normal0"/>
        <w:ind w:left="720"/>
      </w:pPr>
    </w:p>
    <w:p w14:paraId="05F35D62" w14:textId="77777777" w:rsidR="004A2506" w:rsidRDefault="004A2506" w:rsidP="004C23B2">
      <w:pPr>
        <w:pStyle w:val="Heading2"/>
      </w:pPr>
      <w:bookmarkStart w:id="47" w:name="_Toc332281956"/>
      <w:bookmarkStart w:id="48" w:name="_Toc348543349"/>
      <w:bookmarkStart w:id="49" w:name="_Toc348543383"/>
      <w:r>
        <w:t xml:space="preserve">B.2. </w:t>
      </w:r>
      <w:r w:rsidRPr="2B533CF7">
        <w:t>Governance and Approvals</w:t>
      </w:r>
      <w:r>
        <w:t xml:space="preserve">: </w:t>
      </w:r>
    </w:p>
    <w:p w14:paraId="114EDA8E" w14:textId="77777777" w:rsidR="008670D5" w:rsidRDefault="00195B57" w:rsidP="00195B57">
      <w:pPr>
        <w:pStyle w:val="normal0"/>
      </w:pPr>
      <w:bookmarkStart w:id="50" w:name="h.265nkvi6vi0x" w:colFirst="0" w:colLast="0"/>
      <w:bookmarkEnd w:id="47"/>
      <w:bookmarkEnd w:id="48"/>
      <w:bookmarkEnd w:id="50"/>
      <w:r w:rsidDel="00853B5A">
        <w:t xml:space="preserve">Monitoring Practices </w:t>
      </w:r>
      <w:r>
        <w:t>falling</w:t>
      </w:r>
      <w:r w:rsidDel="00853B5A">
        <w:t xml:space="preserve"> within </w:t>
      </w:r>
      <w:r>
        <w:t>Section II of the Privacy and Online Monitoring Policy</w:t>
      </w:r>
      <w:r w:rsidDel="00853B5A">
        <w:t xml:space="preserve"> require transparent review and documented approval by </w:t>
      </w:r>
    </w:p>
    <w:p w14:paraId="77283D9A" w14:textId="77777777" w:rsidR="008670D5" w:rsidRDefault="00195B57" w:rsidP="008670D5">
      <w:pPr>
        <w:pStyle w:val="normal0"/>
        <w:ind w:left="720"/>
      </w:pPr>
      <w:r>
        <w:t>1)</w:t>
      </w:r>
      <w:r w:rsidDel="00853B5A">
        <w:t xml:space="preserve"> IRGC-</w:t>
      </w:r>
      <w:r>
        <w:t>Managed</w:t>
      </w:r>
      <w:r w:rsidDel="00853B5A">
        <w:t xml:space="preserve"> </w:t>
      </w:r>
      <w:r>
        <w:t>C</w:t>
      </w:r>
      <w:r w:rsidDel="00853B5A">
        <w:t xml:space="preserve">ampus </w:t>
      </w:r>
      <w:r>
        <w:t>V</w:t>
      </w:r>
      <w:r w:rsidDel="00853B5A">
        <w:t>etting</w:t>
      </w:r>
      <w:r>
        <w:t xml:space="preserve">, </w:t>
      </w:r>
    </w:p>
    <w:p w14:paraId="14C75A98" w14:textId="77777777" w:rsidR="008670D5" w:rsidRDefault="00195B57" w:rsidP="008670D5">
      <w:pPr>
        <w:pStyle w:val="normal0"/>
        <w:ind w:left="720"/>
      </w:pPr>
      <w:r>
        <w:t xml:space="preserve">2) Provisional Approval or </w:t>
      </w:r>
    </w:p>
    <w:p w14:paraId="617CFF0C" w14:textId="77777777" w:rsidR="008670D5" w:rsidRDefault="00195B57" w:rsidP="008670D5">
      <w:pPr>
        <w:pStyle w:val="normal0"/>
        <w:ind w:left="720"/>
      </w:pPr>
      <w:r>
        <w:t>3) Expedited Review</w:t>
      </w:r>
      <w:r w:rsidDel="00853B5A">
        <w:t xml:space="preserve"> </w:t>
      </w:r>
    </w:p>
    <w:p w14:paraId="3A767A6F" w14:textId="13515591" w:rsidR="00195B57" w:rsidRDefault="00195B57" w:rsidP="008670D5">
      <w:pPr>
        <w:pStyle w:val="normal0"/>
      </w:pPr>
      <w:proofErr w:type="gramStart"/>
      <w:r w:rsidDel="00853B5A">
        <w:t>to</w:t>
      </w:r>
      <w:proofErr w:type="gramEnd"/>
      <w:r w:rsidDel="00853B5A">
        <w:t xml:space="preserve"> ensure the practices are consistent with the privacy values of the Campus, and that the appropriate balance between autonomy and information privacy and other Campus obligations and priorities is maintained. </w:t>
      </w:r>
      <w:r w:rsidR="00F9735C">
        <w:t xml:space="preserve">The </w:t>
      </w:r>
      <w:r w:rsidDel="00853B5A">
        <w:t xml:space="preserve">approval </w:t>
      </w:r>
      <w:r w:rsidR="00F9735C">
        <w:t xml:space="preserve">process </w:t>
      </w:r>
      <w:r w:rsidDel="00853B5A">
        <w:t xml:space="preserve">will involve </w:t>
      </w:r>
      <w:r w:rsidR="00F9735C">
        <w:t>r</w:t>
      </w:r>
      <w:r w:rsidR="00F9735C" w:rsidDel="00853B5A">
        <w:t xml:space="preserve">eview </w:t>
      </w:r>
      <w:r w:rsidR="00F9735C">
        <w:t>of the Balancing Analysis to</w:t>
      </w:r>
      <w:r w:rsidR="00F9735C" w:rsidDel="00853B5A">
        <w:t xml:space="preserve"> </w:t>
      </w:r>
      <w:r w:rsidR="00F9735C">
        <w:t>deliberately evaluate</w:t>
      </w:r>
      <w:r w:rsidDel="00853B5A">
        <w:t xml:space="preserve"> what and how monitoring data may be collected, reviewed, used, and retained.</w:t>
      </w:r>
    </w:p>
    <w:p w14:paraId="6E43D401" w14:textId="77777777" w:rsidR="00195B57" w:rsidDel="00853B5A" w:rsidRDefault="00195B57" w:rsidP="00195B57">
      <w:pPr>
        <w:pStyle w:val="normal0"/>
      </w:pPr>
    </w:p>
    <w:p w14:paraId="3B2928D8" w14:textId="69724CBE" w:rsidR="00195B57" w:rsidRDefault="00195B57" w:rsidP="00195B57">
      <w:pPr>
        <w:pStyle w:val="Heading3"/>
        <w:contextualSpacing w:val="0"/>
      </w:pPr>
      <w:bookmarkStart w:id="51" w:name="_Toc348543350"/>
      <w:r>
        <w:rPr>
          <w:szCs w:val="24"/>
        </w:rPr>
        <w:t>B.</w:t>
      </w:r>
      <w:r w:rsidR="0049229D">
        <w:rPr>
          <w:szCs w:val="24"/>
        </w:rPr>
        <w:t>2</w:t>
      </w:r>
      <w:r>
        <w:rPr>
          <w:szCs w:val="24"/>
        </w:rPr>
        <w:t>.</w:t>
      </w:r>
      <w:r w:rsidR="0049229D">
        <w:rPr>
          <w:szCs w:val="24"/>
        </w:rPr>
        <w:t>a.</w:t>
      </w:r>
      <w:r>
        <w:rPr>
          <w:szCs w:val="24"/>
        </w:rPr>
        <w:t xml:space="preserve"> IRGC-Managed Campus Vetting</w:t>
      </w:r>
      <w:bookmarkEnd w:id="51"/>
    </w:p>
    <w:p w14:paraId="3510B153" w14:textId="0CD50C4F" w:rsidR="00195B57" w:rsidRDefault="00195B57" w:rsidP="00195B57">
      <w:pPr>
        <w:pStyle w:val="normal0"/>
      </w:pPr>
      <w:bookmarkStart w:id="52" w:name="h.i3kqz2ywsy04" w:colFirst="0" w:colLast="0"/>
      <w:bookmarkStart w:id="53" w:name="h.ndi5ov8iik2y" w:colFirst="0" w:colLast="0"/>
      <w:bookmarkEnd w:id="52"/>
      <w:bookmarkEnd w:id="53"/>
      <w:r>
        <w:t xml:space="preserve">The campus Information Risk Governance Committee (IRGC) is the established body for </w:t>
      </w:r>
      <w:r w:rsidR="00F9735C">
        <w:t>managing</w:t>
      </w:r>
      <w:r>
        <w:t xml:space="preserve"> the Balancing Process, including prioritization of online monitoring practices for review, </w:t>
      </w:r>
      <w:r w:rsidR="00F9735C">
        <w:t>conduct</w:t>
      </w:r>
      <w:r>
        <w:t xml:space="preserve">ing stakeholder consultation and campus review, and granting final approval. IRGC serves as the “Campus Privacy and Information Security Board” described in the UC Privacy and Information Security Initiative (PISI) report. </w:t>
      </w:r>
    </w:p>
    <w:p w14:paraId="5C6F823C" w14:textId="60F6F827" w:rsidR="00195B57" w:rsidRDefault="00195B57" w:rsidP="00195B57">
      <w:pPr>
        <w:pStyle w:val="Heading4"/>
        <w:contextualSpacing w:val="0"/>
      </w:pPr>
      <w:bookmarkStart w:id="54" w:name="_Toc348543351"/>
      <w:r>
        <w:t>B.</w:t>
      </w:r>
      <w:r w:rsidR="0049229D">
        <w:t>2</w:t>
      </w:r>
      <w:r>
        <w:t>.a.</w:t>
      </w:r>
      <w:r w:rsidR="0049229D">
        <w:t>i.</w:t>
      </w:r>
      <w:r>
        <w:tab/>
        <w:t>Stakeholder Consultation</w:t>
      </w:r>
      <w:bookmarkEnd w:id="54"/>
    </w:p>
    <w:p w14:paraId="3CE423C5" w14:textId="77777777" w:rsidR="00195B57" w:rsidRDefault="00195B57" w:rsidP="00195B57">
      <w:pPr>
        <w:pStyle w:val="normal0"/>
      </w:pPr>
      <w:r>
        <w:t>The Balancing Process requires consultation with students, faculty and staff, including the following stakeholders or their designees:</w:t>
      </w:r>
    </w:p>
    <w:p w14:paraId="173D0C98" w14:textId="77777777" w:rsidR="00195B57" w:rsidRDefault="00195B57" w:rsidP="00195B57">
      <w:pPr>
        <w:pStyle w:val="normal0"/>
        <w:numPr>
          <w:ilvl w:val="0"/>
          <w:numId w:val="5"/>
        </w:numPr>
        <w:ind w:hanging="360"/>
        <w:contextualSpacing/>
      </w:pPr>
      <w:r>
        <w:t xml:space="preserve">Information Risk Governance Committee (IRGC) with advice from the Campus Information Security and Privacy Committee (CISPC) </w:t>
      </w:r>
    </w:p>
    <w:p w14:paraId="1C18D666" w14:textId="77777777" w:rsidR="00195B57" w:rsidRDefault="00195B57" w:rsidP="00195B57">
      <w:pPr>
        <w:pStyle w:val="normal0"/>
        <w:numPr>
          <w:ilvl w:val="0"/>
          <w:numId w:val="5"/>
        </w:numPr>
        <w:ind w:hanging="360"/>
        <w:contextualSpacing/>
      </w:pPr>
      <w:r>
        <w:t>Joint Committee on Campus Information Technology / COMP Academic Senate committee</w:t>
      </w:r>
    </w:p>
    <w:p w14:paraId="7FE5BCDA" w14:textId="77777777" w:rsidR="00195B57" w:rsidRDefault="00195B57" w:rsidP="00195B57">
      <w:pPr>
        <w:pStyle w:val="normal0"/>
        <w:numPr>
          <w:ilvl w:val="0"/>
          <w:numId w:val="5"/>
        </w:numPr>
        <w:ind w:hanging="360"/>
        <w:contextualSpacing/>
      </w:pPr>
      <w:r>
        <w:t>Chair of the Academic Senate</w:t>
      </w:r>
    </w:p>
    <w:p w14:paraId="2B8AE112" w14:textId="77777777" w:rsidR="00195B57" w:rsidRDefault="00195B57" w:rsidP="00195B57">
      <w:pPr>
        <w:pStyle w:val="normal0"/>
        <w:numPr>
          <w:ilvl w:val="0"/>
          <w:numId w:val="5"/>
        </w:numPr>
        <w:ind w:hanging="360"/>
        <w:contextualSpacing/>
      </w:pPr>
      <w:r>
        <w:t>President of the Associated Students UC</w:t>
      </w:r>
    </w:p>
    <w:p w14:paraId="09E93C58" w14:textId="77777777" w:rsidR="00195B57" w:rsidRDefault="00195B57" w:rsidP="00195B57">
      <w:pPr>
        <w:pStyle w:val="normal0"/>
        <w:numPr>
          <w:ilvl w:val="0"/>
          <w:numId w:val="5"/>
        </w:numPr>
        <w:ind w:hanging="360"/>
        <w:contextualSpacing/>
      </w:pPr>
      <w:r>
        <w:t>President of Graduate Assembly</w:t>
      </w:r>
    </w:p>
    <w:p w14:paraId="53BCB669" w14:textId="77777777" w:rsidR="00195B57" w:rsidRDefault="00195B57" w:rsidP="00195B57">
      <w:pPr>
        <w:pStyle w:val="normal0"/>
        <w:numPr>
          <w:ilvl w:val="0"/>
          <w:numId w:val="5"/>
        </w:numPr>
        <w:ind w:hanging="360"/>
        <w:contextualSpacing/>
      </w:pPr>
      <w:r>
        <w:t>Additional constituents as identified by IRGC</w:t>
      </w:r>
    </w:p>
    <w:p w14:paraId="09AECE10" w14:textId="380D8BD6" w:rsidR="00195B57" w:rsidDel="00A10571" w:rsidRDefault="00195B57" w:rsidP="00195B57">
      <w:pPr>
        <w:pStyle w:val="Heading4"/>
        <w:contextualSpacing w:val="0"/>
      </w:pPr>
      <w:bookmarkStart w:id="55" w:name="_Toc348543352"/>
      <w:r>
        <w:t>B</w:t>
      </w:r>
      <w:r w:rsidDel="00A10571">
        <w:t>.</w:t>
      </w:r>
      <w:r w:rsidR="0049229D">
        <w:t>2</w:t>
      </w:r>
      <w:r w:rsidDel="00A10571">
        <w:t>.</w:t>
      </w:r>
      <w:r w:rsidR="0049229D">
        <w:t>a</w:t>
      </w:r>
      <w:r w:rsidDel="00A10571">
        <w:t>.</w:t>
      </w:r>
      <w:r w:rsidR="0049229D">
        <w:t>ii.</w:t>
      </w:r>
      <w:r w:rsidDel="00A10571">
        <w:tab/>
      </w:r>
      <w:bookmarkStart w:id="56" w:name="h.tznvjx52wuj6" w:colFirst="0" w:colLast="0"/>
      <w:bookmarkEnd w:id="56"/>
      <w:r w:rsidDel="00A10571">
        <w:t>Open Review and Comment Period</w:t>
      </w:r>
      <w:bookmarkEnd w:id="55"/>
    </w:p>
    <w:p w14:paraId="1223EF37" w14:textId="77777777" w:rsidR="00195B57" w:rsidRDefault="00195B57" w:rsidP="00195B57">
      <w:pPr>
        <w:pStyle w:val="normal0"/>
      </w:pPr>
      <w:r w:rsidDel="00A10571">
        <w:t xml:space="preserve">The Balancing Analysis for </w:t>
      </w:r>
      <w:r>
        <w:t xml:space="preserve">a proposed </w:t>
      </w:r>
      <w:r w:rsidDel="00A10571">
        <w:t>Monitoring Practic</w:t>
      </w:r>
      <w:r>
        <w:t>e</w:t>
      </w:r>
      <w:r w:rsidDel="00A10571">
        <w:t xml:space="preserve"> will be announced and made available </w:t>
      </w:r>
      <w:r>
        <w:t xml:space="preserve">to the campus community </w:t>
      </w:r>
      <w:r w:rsidDel="00A10571">
        <w:t>for review and comment for at least three-week</w:t>
      </w:r>
      <w:r>
        <w:t>s</w:t>
      </w:r>
      <w:r w:rsidDel="00A10571">
        <w:t xml:space="preserve"> (not including academic breaks)</w:t>
      </w:r>
      <w:r>
        <w:t>. The Balancing Analysis will be available for public review unless the monitoring unit justifies to IRGC the need for limited distribution</w:t>
      </w:r>
      <w:r w:rsidDel="00A10571">
        <w:t xml:space="preserve">. </w:t>
      </w:r>
    </w:p>
    <w:p w14:paraId="079CDBB0" w14:textId="77777777" w:rsidR="00195B57" w:rsidRDefault="00195B57" w:rsidP="00195B57">
      <w:pPr>
        <w:pStyle w:val="normal0"/>
      </w:pPr>
    </w:p>
    <w:p w14:paraId="27A4A616" w14:textId="77777777" w:rsidR="00195B57" w:rsidRDefault="00195B57" w:rsidP="00195B57">
      <w:pPr>
        <w:pStyle w:val="normal0"/>
      </w:pPr>
      <w:r w:rsidDel="00A10571">
        <w:t xml:space="preserve">The Campus Privacy Officer will collect, review, and responded to feedback. The </w:t>
      </w:r>
      <w:r w:rsidRPr="001F1A6F" w:rsidDel="00A10571">
        <w:t>Joint Committee on Campus Information Technology</w:t>
      </w:r>
      <w:r w:rsidDel="00A10571">
        <w:t xml:space="preserve"> (faculty advisory committee jointly appointed by Academic Senate and the Chief Information Officer) will adjudicate on comments received.</w:t>
      </w:r>
      <w:bookmarkStart w:id="57" w:name="h.u07i5a9h0xza" w:colFirst="0" w:colLast="0"/>
      <w:bookmarkEnd w:id="57"/>
    </w:p>
    <w:p w14:paraId="728467D7" w14:textId="77777777" w:rsidR="00195B57" w:rsidRDefault="00195B57" w:rsidP="00195B57">
      <w:pPr>
        <w:pStyle w:val="normal0"/>
        <w:contextualSpacing/>
      </w:pPr>
    </w:p>
    <w:p w14:paraId="5C9098BE" w14:textId="592E9CDC" w:rsidR="00195B57" w:rsidRDefault="00195B57" w:rsidP="00195B57">
      <w:pPr>
        <w:pStyle w:val="Heading3"/>
        <w:contextualSpacing w:val="0"/>
        <w:rPr>
          <w:szCs w:val="24"/>
        </w:rPr>
      </w:pPr>
      <w:bookmarkStart w:id="58" w:name="_Toc348543353"/>
      <w:r>
        <w:rPr>
          <w:szCs w:val="24"/>
        </w:rPr>
        <w:lastRenderedPageBreak/>
        <w:t>B.2.</w:t>
      </w:r>
      <w:r w:rsidR="0049229D">
        <w:rPr>
          <w:szCs w:val="24"/>
        </w:rPr>
        <w:t>b.</w:t>
      </w:r>
      <w:r>
        <w:rPr>
          <w:szCs w:val="24"/>
        </w:rPr>
        <w:t xml:space="preserve"> </w:t>
      </w:r>
      <w:r>
        <w:rPr>
          <w:szCs w:val="24"/>
        </w:rPr>
        <w:tab/>
        <w:t>Provisional Approval</w:t>
      </w:r>
      <w:bookmarkEnd w:id="58"/>
    </w:p>
    <w:p w14:paraId="324091C2" w14:textId="7ABA6722" w:rsidR="00195B57" w:rsidRDefault="00195B57" w:rsidP="00195B57">
      <w:pPr>
        <w:pStyle w:val="Heading4"/>
      </w:pPr>
      <w:bookmarkStart w:id="59" w:name="h.r02e87dwi6zp" w:colFirst="0" w:colLast="0"/>
      <w:bookmarkStart w:id="60" w:name="h.ra8s3bqdx77k" w:colFirst="0" w:colLast="0"/>
      <w:bookmarkStart w:id="61" w:name="h.e8034bik6w75" w:colFirst="0" w:colLast="0"/>
      <w:bookmarkStart w:id="62" w:name="_Toc348543354"/>
      <w:bookmarkEnd w:id="59"/>
      <w:bookmarkEnd w:id="60"/>
      <w:bookmarkEnd w:id="61"/>
      <w:r>
        <w:t>B.2.</w:t>
      </w:r>
      <w:r w:rsidR="0049229D">
        <w:t>b</w:t>
      </w:r>
      <w:r>
        <w:t>.</w:t>
      </w:r>
      <w:r w:rsidR="0049229D">
        <w:t>i.</w:t>
      </w:r>
      <w:r>
        <w:t xml:space="preserve"> </w:t>
      </w:r>
      <w:r>
        <w:tab/>
        <w:t>Time-Sensitive Circumstances</w:t>
      </w:r>
      <w:bookmarkEnd w:id="62"/>
    </w:p>
    <w:p w14:paraId="7224860E" w14:textId="77777777" w:rsidR="00195B57" w:rsidRDefault="00195B57" w:rsidP="00195B57">
      <w:pPr>
        <w:pStyle w:val="normal0"/>
      </w:pPr>
      <w:r>
        <w:t>Monitoring units may request to operate provisionally with approval from the IRGC Provisional Approval Committee if monitoring is deemed necessary before a full IRGC-Managed Campus Vetting process can be conducted. The Committee may decline to provide a provisional decision, sending the request forward for full IRGC-Managed Campus Vetting instead.</w:t>
      </w:r>
    </w:p>
    <w:p w14:paraId="7E37CB55" w14:textId="77777777" w:rsidR="00195B57" w:rsidRDefault="00195B57" w:rsidP="00195B57">
      <w:pPr>
        <w:pStyle w:val="normal0"/>
      </w:pPr>
    </w:p>
    <w:p w14:paraId="3D806CA5" w14:textId="77777777" w:rsidR="00195B57" w:rsidRPr="002D0048" w:rsidRDefault="00195B57" w:rsidP="00195B57">
      <w:pPr>
        <w:pStyle w:val="normal0"/>
      </w:pPr>
      <w:r w:rsidRPr="002D0048">
        <w:t>The IRGC Provisional Approval Committee consists of:</w:t>
      </w:r>
    </w:p>
    <w:p w14:paraId="02D4DE05" w14:textId="77777777" w:rsidR="00195B57" w:rsidRPr="002D0048" w:rsidRDefault="00195B57" w:rsidP="00195B57">
      <w:pPr>
        <w:pStyle w:val="normal0"/>
        <w:numPr>
          <w:ilvl w:val="0"/>
          <w:numId w:val="13"/>
        </w:numPr>
      </w:pPr>
      <w:r w:rsidRPr="002D0048">
        <w:t xml:space="preserve">Campus Privacy Officer (CPO), </w:t>
      </w:r>
    </w:p>
    <w:p w14:paraId="3B5624C2" w14:textId="77777777" w:rsidR="00195B57" w:rsidRPr="002D0048" w:rsidRDefault="00195B57" w:rsidP="00195B57">
      <w:pPr>
        <w:pStyle w:val="normal0"/>
        <w:numPr>
          <w:ilvl w:val="0"/>
          <w:numId w:val="13"/>
        </w:numPr>
      </w:pPr>
      <w:r w:rsidRPr="002D0048">
        <w:t xml:space="preserve">Chief Information Security Officer (CISO), </w:t>
      </w:r>
    </w:p>
    <w:p w14:paraId="72CCF021" w14:textId="77777777" w:rsidR="00195B57" w:rsidRDefault="00195B57" w:rsidP="00195B57">
      <w:pPr>
        <w:pStyle w:val="normal0"/>
        <w:numPr>
          <w:ilvl w:val="0"/>
          <w:numId w:val="13"/>
        </w:numPr>
      </w:pPr>
      <w:r w:rsidRPr="002D0048">
        <w:t xml:space="preserve">Cyber-risk Responsible Executive (CRE), and </w:t>
      </w:r>
    </w:p>
    <w:p w14:paraId="3B252809" w14:textId="77777777" w:rsidR="00195B57" w:rsidRDefault="00195B57" w:rsidP="00195B57">
      <w:pPr>
        <w:pStyle w:val="normal0"/>
        <w:numPr>
          <w:ilvl w:val="0"/>
          <w:numId w:val="13"/>
        </w:numPr>
      </w:pPr>
      <w:r>
        <w:t xml:space="preserve">IRGC Co-sponsor: Chief Information Officer (CIO), and </w:t>
      </w:r>
    </w:p>
    <w:p w14:paraId="1B7DB976" w14:textId="77777777" w:rsidR="00195B57" w:rsidRDefault="00195B57" w:rsidP="00195B57">
      <w:pPr>
        <w:pStyle w:val="normal0"/>
        <w:numPr>
          <w:ilvl w:val="0"/>
          <w:numId w:val="13"/>
        </w:numPr>
      </w:pPr>
      <w:r>
        <w:t>IRGC Co-sponsor: Associate Chancellor (AC)</w:t>
      </w:r>
    </w:p>
    <w:p w14:paraId="4140B5B0" w14:textId="77777777" w:rsidR="00195B57" w:rsidRDefault="00195B57" w:rsidP="00195B57">
      <w:pPr>
        <w:pStyle w:val="normal0"/>
      </w:pPr>
      <w:r>
        <w:t xml:space="preserve">Provisional approval requires notification to and attempt to obtain consultation from all Provisional Approval Committee members. However, approval by majority (any three members) is sufficient for provisional operation.  If any Provisional Approval Committee member disagrees with the provisional decision, the member can prioritize a full IRGC-Managed Campus Vetting. </w:t>
      </w:r>
    </w:p>
    <w:p w14:paraId="6A870843" w14:textId="34282ACE" w:rsidR="00195B57" w:rsidRDefault="00195B57" w:rsidP="00195B57">
      <w:pPr>
        <w:pStyle w:val="Heading4"/>
        <w:contextualSpacing w:val="0"/>
      </w:pPr>
      <w:bookmarkStart w:id="63" w:name="h.ilw0t1fcr6sn" w:colFirst="0" w:colLast="0"/>
      <w:bookmarkStart w:id="64" w:name="_Toc348543355"/>
      <w:bookmarkEnd w:id="63"/>
      <w:r>
        <w:t>B.2.b.</w:t>
      </w:r>
      <w:r w:rsidR="0049229D">
        <w:t>ii.</w:t>
      </w:r>
      <w:r>
        <w:t xml:space="preserve"> </w:t>
      </w:r>
      <w:r>
        <w:tab/>
        <w:t>Established Monitoring Practices</w:t>
      </w:r>
      <w:bookmarkEnd w:id="64"/>
    </w:p>
    <w:p w14:paraId="5954DEAF" w14:textId="77777777" w:rsidR="00195B57" w:rsidRDefault="00195B57" w:rsidP="00195B57">
      <w:pPr>
        <w:pStyle w:val="normal0"/>
      </w:pPr>
      <w:r>
        <w:t>Monitoring Practices established in practice prior to approval of this policy may continue to operate provisionally until IRGC-Managed Campus Vetting. Explicit IRGC Provisional Approval is not required in this instance.</w:t>
      </w:r>
    </w:p>
    <w:p w14:paraId="27EFD271" w14:textId="77777777" w:rsidR="00195B57" w:rsidRDefault="00195B57" w:rsidP="00195B57">
      <w:pPr>
        <w:pStyle w:val="Heading3"/>
      </w:pPr>
      <w:bookmarkStart w:id="65" w:name="h.hutln5fo6mg7" w:colFirst="0" w:colLast="0"/>
      <w:bookmarkEnd w:id="65"/>
    </w:p>
    <w:p w14:paraId="3668FDFC" w14:textId="5C136DC0" w:rsidR="00195B57" w:rsidRPr="00F33384" w:rsidRDefault="00195B57" w:rsidP="00195B57">
      <w:pPr>
        <w:pStyle w:val="Heading3"/>
        <w:contextualSpacing w:val="0"/>
        <w:rPr>
          <w:szCs w:val="24"/>
        </w:rPr>
      </w:pPr>
      <w:bookmarkStart w:id="66" w:name="_Toc348543356"/>
      <w:r>
        <w:rPr>
          <w:szCs w:val="24"/>
        </w:rPr>
        <w:t>B.</w:t>
      </w:r>
      <w:r w:rsidR="0049229D">
        <w:rPr>
          <w:szCs w:val="24"/>
        </w:rPr>
        <w:t>2</w:t>
      </w:r>
      <w:r>
        <w:rPr>
          <w:szCs w:val="24"/>
        </w:rPr>
        <w:t>.</w:t>
      </w:r>
      <w:r w:rsidR="0049229D">
        <w:rPr>
          <w:szCs w:val="24"/>
        </w:rPr>
        <w:t>c</w:t>
      </w:r>
      <w:r w:rsidRPr="00F33384">
        <w:rPr>
          <w:szCs w:val="24"/>
        </w:rPr>
        <w:tab/>
        <w:t>Expedited Review</w:t>
      </w:r>
      <w:bookmarkEnd w:id="66"/>
    </w:p>
    <w:p w14:paraId="74E48A94" w14:textId="46C6350D" w:rsidR="00195B57" w:rsidRDefault="00195B57" w:rsidP="00195B57">
      <w:pPr>
        <w:pStyle w:val="normal0"/>
      </w:pPr>
      <w:r>
        <w:t xml:space="preserve">The following monitoring scenarios are eligible for expedited review and exempt from the IRGC-managed Campus Vetting Process </w:t>
      </w:r>
      <w:r w:rsidR="00F9735C">
        <w:t>(</w:t>
      </w:r>
      <w:r>
        <w:t xml:space="preserve">defined in </w:t>
      </w:r>
      <w:r w:rsidR="00F9735C">
        <w:t>section B</w:t>
      </w:r>
      <w:r>
        <w:t>.1.) unless otherwise identified by the Campus Privacy Officer or IRGC as having significant privacy impact. Units conducting these Monitoring Practices must still comply with the remaining procedures required by th</w:t>
      </w:r>
      <w:r w:rsidR="00F9735C">
        <w:t>e Privacy and Online Monitoring P</w:t>
      </w:r>
      <w:r>
        <w:t xml:space="preserve">olicy, including </w:t>
      </w:r>
      <w:r w:rsidRPr="009B45C6">
        <w:t>conduct</w:t>
      </w:r>
      <w:r>
        <w:t>ing</w:t>
      </w:r>
      <w:r w:rsidRPr="009B45C6">
        <w:t xml:space="preserve"> </w:t>
      </w:r>
      <w:r w:rsidR="00F9735C">
        <w:t xml:space="preserve">a </w:t>
      </w:r>
      <w:r w:rsidR="00F9735C" w:rsidRPr="009B45C6">
        <w:t xml:space="preserve">Balancing Analysis </w:t>
      </w:r>
      <w:r w:rsidR="00F9735C">
        <w:t xml:space="preserve">(A) </w:t>
      </w:r>
      <w:r w:rsidRPr="009B45C6">
        <w:t>and submit</w:t>
      </w:r>
      <w:r>
        <w:t>ting</w:t>
      </w:r>
      <w:r w:rsidRPr="009B45C6">
        <w:t xml:space="preserve"> a Monitoring </w:t>
      </w:r>
      <w:r w:rsidR="00F9735C">
        <w:t xml:space="preserve">Practice </w:t>
      </w:r>
      <w:r w:rsidRPr="009B45C6">
        <w:t xml:space="preserve">Inventory </w:t>
      </w:r>
      <w:r w:rsidR="00F9735C">
        <w:t>(C</w:t>
      </w:r>
      <w:r>
        <w:t xml:space="preserve">) </w:t>
      </w:r>
      <w:r w:rsidRPr="009B45C6">
        <w:t xml:space="preserve">to the </w:t>
      </w:r>
      <w:hyperlink r:id="rId12" w:history="1">
        <w:r w:rsidRPr="009B45C6">
          <w:rPr>
            <w:rStyle w:val="Hyperlink"/>
          </w:rPr>
          <w:t>privacyoffice@berkeley.edu.edu</w:t>
        </w:r>
      </w:hyperlink>
      <w:r>
        <w:t>,</w:t>
      </w:r>
      <w:r w:rsidRPr="009B45C6">
        <w:t xml:space="preserve"> and </w:t>
      </w:r>
      <w:r w:rsidR="00F9735C">
        <w:t>Transparency (D</w:t>
      </w:r>
      <w:r>
        <w:t xml:space="preserve">). </w:t>
      </w:r>
    </w:p>
    <w:p w14:paraId="7EA54E64" w14:textId="77777777" w:rsidR="00195B57" w:rsidRDefault="00195B57" w:rsidP="00195B57">
      <w:pPr>
        <w:pStyle w:val="normal0"/>
      </w:pPr>
    </w:p>
    <w:p w14:paraId="26BD51A2" w14:textId="77777777" w:rsidR="00195B57" w:rsidRDefault="00195B57" w:rsidP="00195B57">
      <w:pPr>
        <w:pStyle w:val="normal0"/>
      </w:pPr>
      <w:r>
        <w:t>The Campus Privacy Officer will consult with IRGC supporting committees and respond to Expedited Review requests within three weeks with a review determination or a time extension.</w:t>
      </w:r>
    </w:p>
    <w:p w14:paraId="47F17EB4" w14:textId="1C2E4F30" w:rsidR="00195B57" w:rsidRDefault="00195B57" w:rsidP="00195B57">
      <w:pPr>
        <w:pStyle w:val="Heading4"/>
      </w:pPr>
      <w:bookmarkStart w:id="67" w:name="h.dblculbk7sh" w:colFirst="0" w:colLast="0"/>
      <w:bookmarkStart w:id="68" w:name="_Toc348543357"/>
      <w:bookmarkEnd w:id="67"/>
      <w:r>
        <w:t>B.</w:t>
      </w:r>
      <w:r w:rsidR="0049229D">
        <w:t>2</w:t>
      </w:r>
      <w:r>
        <w:t>.</w:t>
      </w:r>
      <w:r w:rsidR="0049229D">
        <w:t>c.i.</w:t>
      </w:r>
      <w:r>
        <w:tab/>
        <w:t>Meaningful Choice and Individual Consent</w:t>
      </w:r>
      <w:bookmarkEnd w:id="68"/>
    </w:p>
    <w:p w14:paraId="1696AAD7" w14:textId="77777777" w:rsidR="00195B57" w:rsidRDefault="00195B57" w:rsidP="00195B57">
      <w:pPr>
        <w:pStyle w:val="normal0"/>
      </w:pPr>
      <w:r>
        <w:t xml:space="preserve">When individuals have meaningful choice regarding Monitoring Practices, and explicit and narrowly defined consent is obtained from individuals subject to those Monitoring Practices, those Monitoring Practices are eligible for expedited review. For example, if a service provider offers an optional monitoring service to which campus users may elect to subscribe (not required by job description or department membership, etc.) and the monitoring practices are defined explicitly to the individuals who may choose to participate or not, that monitoring practice is exempt from IRGC-Managed Campus Vetting. </w:t>
      </w:r>
    </w:p>
    <w:p w14:paraId="2D24BFB7" w14:textId="2621C6FE" w:rsidR="00195B57" w:rsidRDefault="00195B57" w:rsidP="00195B57">
      <w:pPr>
        <w:pStyle w:val="Heading4"/>
      </w:pPr>
      <w:bookmarkStart w:id="69" w:name="h.cuiv8kn634oj" w:colFirst="0" w:colLast="0"/>
      <w:bookmarkStart w:id="70" w:name="_Toc348543358"/>
      <w:bookmarkEnd w:id="69"/>
      <w:r>
        <w:lastRenderedPageBreak/>
        <w:t>B.</w:t>
      </w:r>
      <w:r w:rsidR="0049229D">
        <w:t>2</w:t>
      </w:r>
      <w:r>
        <w:t>.</w:t>
      </w:r>
      <w:r w:rsidR="0049229D">
        <w:t>c</w:t>
      </w:r>
      <w:r>
        <w:t>.</w:t>
      </w:r>
      <w:r w:rsidR="0049229D">
        <w:t>ii.</w:t>
      </w:r>
      <w:r>
        <w:tab/>
        <w:t>De-identified Data</w:t>
      </w:r>
      <w:bookmarkEnd w:id="70"/>
    </w:p>
    <w:p w14:paraId="75DB9F80" w14:textId="77777777" w:rsidR="00195B57" w:rsidRDefault="00195B57" w:rsidP="00195B57">
      <w:pPr>
        <w:pStyle w:val="normal0"/>
      </w:pPr>
      <w:r>
        <w:t xml:space="preserve">If monitoring does not include information that identifies an individual, there is no reasonable basis to believe that the information can be used to identify an individual, and the monitoring party and anyone to whom the data is disclosed attests to the </w:t>
      </w:r>
      <w:hyperlink r:id="rId13" w:history="1">
        <w:r>
          <w:t>privacyoffice@berkeley.edu</w:t>
        </w:r>
      </w:hyperlink>
      <w:r>
        <w:t xml:space="preserve"> that the data subjects will not be re-identified and the data will not be joined with other identified data, those Monitoring Practices are eligible for expedited review.  </w:t>
      </w:r>
    </w:p>
    <w:p w14:paraId="0582F168" w14:textId="78DBCD78" w:rsidR="00195B57" w:rsidRDefault="00195B57" w:rsidP="00195B57">
      <w:pPr>
        <w:pStyle w:val="Heading4"/>
      </w:pPr>
      <w:bookmarkStart w:id="71" w:name="_Toc348543359"/>
      <w:r>
        <w:t>B.</w:t>
      </w:r>
      <w:r w:rsidR="0049229D">
        <w:t>2</w:t>
      </w:r>
      <w:r>
        <w:t>.c.</w:t>
      </w:r>
      <w:r w:rsidR="0049229D">
        <w:t>iii</w:t>
      </w:r>
      <w:r>
        <w:tab/>
        <w:t>Aggregate Data</w:t>
      </w:r>
      <w:bookmarkEnd w:id="71"/>
    </w:p>
    <w:p w14:paraId="0B73D8A9" w14:textId="77777777" w:rsidR="00195B57" w:rsidRDefault="00195B57" w:rsidP="00195B57">
      <w:pPr>
        <w:pStyle w:val="normal0"/>
      </w:pPr>
      <w:r>
        <w:t>Monitoring of data in aggregate form is eligible for expedited review when information pertaining to individuals is sufficiently obfuscated.  Even when not personally identifiable, aggregate data merits Expedited Review to evaluate potential negative impact, e.g., k</w:t>
      </w:r>
      <w:r w:rsidRPr="008F19C2">
        <w:t>eeping track of what websites get the most hits on</w:t>
      </w:r>
      <w:r>
        <w:t xml:space="preserve"> campus (DNS l</w:t>
      </w:r>
      <w:r w:rsidRPr="008F19C2">
        <w:t>ookups</w:t>
      </w:r>
      <w:r>
        <w:t>)</w:t>
      </w:r>
      <w:r w:rsidRPr="008F19C2">
        <w:t xml:space="preserve"> </w:t>
      </w:r>
      <w:r>
        <w:t>could chill free inquiry</w:t>
      </w:r>
      <w:r w:rsidRPr="008F19C2">
        <w:t>.</w:t>
      </w:r>
    </w:p>
    <w:p w14:paraId="764B6F82" w14:textId="2C92E82C" w:rsidR="00195B57" w:rsidRDefault="00195B57" w:rsidP="00195B57">
      <w:pPr>
        <w:pStyle w:val="Heading4"/>
      </w:pPr>
      <w:bookmarkStart w:id="72" w:name="_Toc348543360"/>
      <w:r>
        <w:t>B.</w:t>
      </w:r>
      <w:r w:rsidR="0049229D">
        <w:t>2</w:t>
      </w:r>
      <w:r>
        <w:t>.</w:t>
      </w:r>
      <w:r w:rsidR="0049229D">
        <w:t>c</w:t>
      </w:r>
      <w:r>
        <w:t>.</w:t>
      </w:r>
      <w:r w:rsidR="0049229D">
        <w:t>iv.</w:t>
      </w:r>
      <w:r>
        <w:tab/>
        <w:t>Security Monitoring of Highly Sensitive Data</w:t>
      </w:r>
      <w:bookmarkEnd w:id="72"/>
    </w:p>
    <w:p w14:paraId="4701BD32" w14:textId="77777777" w:rsidR="00195B57" w:rsidRDefault="00195B57" w:rsidP="00195B57">
      <w:pPr>
        <w:pStyle w:val="normal0"/>
      </w:pPr>
      <w:r w:rsidRPr="00FC7DD3">
        <w:t>When the University is the record holder for highly sensitive institutional data, the institution has a</w:t>
      </w:r>
      <w:r>
        <w:t xml:space="preserve"> </w:t>
      </w:r>
      <w:r w:rsidRPr="00FC7DD3">
        <w:t>heightened responsibility to protect such data from unauthorized access. The University recognizes</w:t>
      </w:r>
      <w:r>
        <w:t xml:space="preserve"> </w:t>
      </w:r>
      <w:r w:rsidRPr="00FC7DD3">
        <w:t>that online monitoring can have negative privacy impacts, however, if the University already stores</w:t>
      </w:r>
      <w:r>
        <w:t xml:space="preserve"> </w:t>
      </w:r>
      <w:r w:rsidRPr="00FC7DD3">
        <w:t>and has access to such data, monitoring conducted by the University to protect the confidentiality of</w:t>
      </w:r>
      <w:r>
        <w:t xml:space="preserve"> </w:t>
      </w:r>
      <w:r w:rsidRPr="00FC7DD3">
        <w:t>that data generally does not materially increase privacy risks.</w:t>
      </w:r>
      <w:r>
        <w:t xml:space="preserve"> </w:t>
      </w:r>
      <w:r w:rsidRPr="00FC7DD3">
        <w:t xml:space="preserve">Therefore, monitoring data traffic to or from PL2 </w:t>
      </w:r>
      <w:r>
        <w:t xml:space="preserve">(highly sensitive) </w:t>
      </w:r>
      <w:r w:rsidRPr="00FC7DD3">
        <w:t>data systems for the purpose of protecting the</w:t>
      </w:r>
      <w:r>
        <w:t xml:space="preserve"> </w:t>
      </w:r>
      <w:r w:rsidRPr="00FC7DD3">
        <w:t>confidentiality of that data is eligible for Expedited Review under the following conditions:</w:t>
      </w:r>
    </w:p>
    <w:p w14:paraId="28C40174" w14:textId="1AE19F60" w:rsidR="00195B57" w:rsidRPr="004C23B2" w:rsidRDefault="0049229D" w:rsidP="004C23B2">
      <w:pPr>
        <w:pStyle w:val="Heading5"/>
      </w:pPr>
      <w:r w:rsidRPr="004C23B2">
        <w:t>(a)</w:t>
      </w:r>
      <w:r w:rsidR="00195B57" w:rsidRPr="004C23B2">
        <w:t xml:space="preserve"> Monitoring scope:</w:t>
      </w:r>
    </w:p>
    <w:p w14:paraId="02789443" w14:textId="77777777" w:rsidR="00195B57" w:rsidRDefault="00195B57" w:rsidP="00195B57">
      <w:pPr>
        <w:pStyle w:val="normal0"/>
        <w:ind w:left="1440"/>
      </w:pPr>
      <w:r w:rsidRPr="00FC7DD3">
        <w:t>a. Proposed monitoring is restricted to activity on networks or institutional or privileged</w:t>
      </w:r>
      <w:r>
        <w:t xml:space="preserve"> </w:t>
      </w:r>
      <w:r w:rsidRPr="00FC7DD3">
        <w:t>access devices registered as handling Protection Level 2 (PL2) data (as defined in the</w:t>
      </w:r>
      <w:r>
        <w:t xml:space="preserve"> </w:t>
      </w:r>
      <w:r w:rsidRPr="00FC7DD3">
        <w:t>Berkeley Data Classification Standard, collectively, “PL2 systems”) </w:t>
      </w:r>
      <w:r w:rsidRPr="00FC7DD3">
        <w:rPr>
          <w:i/>
        </w:rPr>
        <w:t>and</w:t>
      </w:r>
    </w:p>
    <w:p w14:paraId="66DC8F00" w14:textId="77777777" w:rsidR="00195B57" w:rsidRDefault="00195B57" w:rsidP="00195B57">
      <w:pPr>
        <w:pStyle w:val="normal0"/>
        <w:ind w:left="1440"/>
      </w:pPr>
      <w:r w:rsidRPr="00FC7DD3">
        <w:t>b. The PL2 systems are University administrative systems handling records for which the</w:t>
      </w:r>
      <w:r>
        <w:t xml:space="preserve"> </w:t>
      </w:r>
      <w:r w:rsidRPr="00FC7DD3">
        <w:t>University is the Record Holder (i.e., creator or intended recipient of the communication,</w:t>
      </w:r>
      <w:r>
        <w:t xml:space="preserve"> </w:t>
      </w:r>
      <w:r w:rsidRPr="00FC7DD3">
        <w:t>as defined by the Electronic Communications Policy). Such systems include Berkeley</w:t>
      </w:r>
      <w:r>
        <w:t xml:space="preserve"> </w:t>
      </w:r>
      <w:r w:rsidRPr="00FC7DD3">
        <w:t>Financial System, Human Capital Management, Student Information Systems, Central</w:t>
      </w:r>
      <w:r>
        <w:t xml:space="preserve"> </w:t>
      </w:r>
      <w:r w:rsidRPr="00FC7DD3">
        <w:t>Authentication System, Financial Aid, Electronic Health Records, etc.</w:t>
      </w:r>
      <w:r>
        <w:t xml:space="preserve"> </w:t>
      </w:r>
      <w:r w:rsidRPr="00FC7DD3">
        <w:rPr>
          <w:i/>
        </w:rPr>
        <w:t>and</w:t>
      </w:r>
    </w:p>
    <w:p w14:paraId="3666E9D7" w14:textId="77777777" w:rsidR="00195B57" w:rsidRPr="00FC7DD3" w:rsidRDefault="00195B57" w:rsidP="00195B57">
      <w:pPr>
        <w:pStyle w:val="normal0"/>
        <w:ind w:left="1440"/>
      </w:pPr>
      <w:r w:rsidRPr="00FC7DD3">
        <w:t>c. Proposed monitoring does not apply to email and document storage systems where there</w:t>
      </w:r>
      <w:r>
        <w:t xml:space="preserve"> </w:t>
      </w:r>
      <w:r w:rsidRPr="00FC7DD3">
        <w:t>is permissible incidental personal communication, or non-administrative records.</w:t>
      </w:r>
    </w:p>
    <w:p w14:paraId="2525AABC" w14:textId="4B953723" w:rsidR="00195B57" w:rsidRPr="00FC7DD3" w:rsidRDefault="0049229D" w:rsidP="004C23B2">
      <w:pPr>
        <w:pStyle w:val="Heading5"/>
      </w:pPr>
      <w:r>
        <w:t xml:space="preserve">(b) </w:t>
      </w:r>
      <w:r w:rsidR="00195B57" w:rsidRPr="00FC7DD3">
        <w:t>Monitoring purpose:</w:t>
      </w:r>
    </w:p>
    <w:p w14:paraId="3113A8AB" w14:textId="77777777" w:rsidR="00195B57" w:rsidRDefault="00195B57" w:rsidP="00195B57">
      <w:pPr>
        <w:pStyle w:val="normal0"/>
        <w:ind w:left="1440"/>
      </w:pPr>
      <w:r w:rsidRPr="00FC7DD3">
        <w:t>a. Proposed monitoring is intended to protect data from a compromise of confidentiality, </w:t>
      </w:r>
      <w:r w:rsidRPr="00FC7DD3">
        <w:rPr>
          <w:i/>
        </w:rPr>
        <w:t>and</w:t>
      </w:r>
    </w:p>
    <w:p w14:paraId="5A3A6EB4" w14:textId="77777777" w:rsidR="00195B57" w:rsidRPr="00FC7DD3" w:rsidRDefault="00195B57" w:rsidP="00195B57">
      <w:pPr>
        <w:pStyle w:val="normal0"/>
        <w:ind w:left="1440"/>
      </w:pPr>
      <w:r w:rsidRPr="00FC7DD3">
        <w:t xml:space="preserve">b. Secondary uses of collected data (other than </w:t>
      </w:r>
      <w:r>
        <w:t xml:space="preserve">for the </w:t>
      </w:r>
      <w:r w:rsidRPr="00FC7DD3">
        <w:t>protect</w:t>
      </w:r>
      <w:r>
        <w:t>ion of</w:t>
      </w:r>
      <w:r w:rsidRPr="00FC7DD3">
        <w:t xml:space="preserve"> confidentiality </w:t>
      </w:r>
      <w:r>
        <w:t>described</w:t>
      </w:r>
      <w:r w:rsidRPr="00FC7DD3">
        <w:t xml:space="preserve"> in</w:t>
      </w:r>
      <w:r>
        <w:t xml:space="preserve"> </w:t>
      </w:r>
      <w:r w:rsidRPr="00FC7DD3">
        <w:t>the monitoring propos</w:t>
      </w:r>
      <w:r>
        <w:t>al) are prohibited, except when</w:t>
      </w:r>
      <w:r w:rsidRPr="00FC7DD3">
        <w:t xml:space="preserve"> </w:t>
      </w:r>
      <w:r>
        <w:t>required</w:t>
      </w:r>
      <w:r w:rsidRPr="00FC7DD3">
        <w:t xml:space="preserve"> by law </w:t>
      </w:r>
      <w:r>
        <w:t xml:space="preserve">or with authorization through the </w:t>
      </w:r>
      <w:r w:rsidRPr="00FC7DD3">
        <w:t>Electronic Communications Policy non-consensual access</w:t>
      </w:r>
      <w:r>
        <w:t xml:space="preserve"> approval process</w:t>
      </w:r>
      <w:r w:rsidRPr="00FC7DD3">
        <w:t>.</w:t>
      </w:r>
    </w:p>
    <w:p w14:paraId="0EB5CD47" w14:textId="36711D25" w:rsidR="00195B57" w:rsidRPr="00F33384" w:rsidRDefault="00195B57" w:rsidP="00195B57">
      <w:pPr>
        <w:pStyle w:val="Heading3"/>
        <w:contextualSpacing w:val="0"/>
        <w:rPr>
          <w:szCs w:val="24"/>
        </w:rPr>
      </w:pPr>
      <w:bookmarkStart w:id="73" w:name="_Toc348543361"/>
      <w:r>
        <w:rPr>
          <w:szCs w:val="24"/>
        </w:rPr>
        <w:lastRenderedPageBreak/>
        <w:t>B.</w:t>
      </w:r>
      <w:r w:rsidR="0049229D">
        <w:rPr>
          <w:szCs w:val="24"/>
        </w:rPr>
        <w:t>2</w:t>
      </w:r>
      <w:r>
        <w:rPr>
          <w:szCs w:val="24"/>
        </w:rPr>
        <w:t>.</w:t>
      </w:r>
      <w:r w:rsidR="0049229D">
        <w:rPr>
          <w:szCs w:val="24"/>
        </w:rPr>
        <w:t>d.</w:t>
      </w:r>
      <w:r>
        <w:rPr>
          <w:szCs w:val="24"/>
        </w:rPr>
        <w:tab/>
      </w:r>
      <w:r w:rsidRPr="00F33384">
        <w:rPr>
          <w:szCs w:val="24"/>
        </w:rPr>
        <w:t>Review Feedback</w:t>
      </w:r>
      <w:bookmarkEnd w:id="73"/>
      <w:r w:rsidRPr="00F33384">
        <w:rPr>
          <w:szCs w:val="24"/>
        </w:rPr>
        <w:t xml:space="preserve"> </w:t>
      </w:r>
    </w:p>
    <w:p w14:paraId="6F90E71F" w14:textId="77777777" w:rsidR="00195B57" w:rsidRDefault="00195B57" w:rsidP="00195B57">
      <w:pPr>
        <w:pStyle w:val="normal0"/>
      </w:pPr>
      <w:r>
        <w:t>The Campus Privacy Officer is responsible for providing notification and feedback regarding the outcomes of monitoring practice reviews to affected units.</w:t>
      </w:r>
    </w:p>
    <w:p w14:paraId="24FF714C" w14:textId="2C77EFB5" w:rsidR="00195B57" w:rsidRPr="00F33384" w:rsidRDefault="00195B57" w:rsidP="00195B57">
      <w:pPr>
        <w:pStyle w:val="Heading3"/>
        <w:contextualSpacing w:val="0"/>
        <w:rPr>
          <w:szCs w:val="24"/>
        </w:rPr>
      </w:pPr>
      <w:bookmarkStart w:id="74" w:name="_Toc348543362"/>
      <w:r>
        <w:rPr>
          <w:szCs w:val="24"/>
        </w:rPr>
        <w:t>B.</w:t>
      </w:r>
      <w:r w:rsidR="0049229D">
        <w:rPr>
          <w:szCs w:val="24"/>
        </w:rPr>
        <w:t>2</w:t>
      </w:r>
      <w:r>
        <w:rPr>
          <w:szCs w:val="24"/>
        </w:rPr>
        <w:t>.</w:t>
      </w:r>
      <w:r w:rsidR="0049229D">
        <w:rPr>
          <w:szCs w:val="24"/>
        </w:rPr>
        <w:t>e.</w:t>
      </w:r>
      <w:r>
        <w:rPr>
          <w:szCs w:val="24"/>
        </w:rPr>
        <w:tab/>
      </w:r>
      <w:r w:rsidRPr="00F33384">
        <w:rPr>
          <w:szCs w:val="24"/>
        </w:rPr>
        <w:t>Exceptions</w:t>
      </w:r>
      <w:bookmarkEnd w:id="74"/>
    </w:p>
    <w:p w14:paraId="3C458FCF" w14:textId="4F437FE3" w:rsidR="00195B57" w:rsidRPr="00195B57" w:rsidRDefault="00195B57" w:rsidP="00195B57">
      <w:pPr>
        <w:pStyle w:val="normal0"/>
        <w:rPr>
          <w:rFonts w:ascii="Arial" w:eastAsia="Arial" w:hAnsi="Arial" w:cs="Arial"/>
          <w:sz w:val="22"/>
          <w:szCs w:val="22"/>
        </w:rPr>
      </w:pPr>
      <w:r>
        <w:t xml:space="preserve">Any deviation from the requirements defined in this policy requires explicit and documented approval by the IRGC. </w:t>
      </w:r>
    </w:p>
    <w:p w14:paraId="114C338B" w14:textId="1033AF60" w:rsidR="008A7E61" w:rsidRDefault="008A7E61" w:rsidP="008A7E61">
      <w:pPr>
        <w:pStyle w:val="Heading1"/>
        <w:contextualSpacing w:val="0"/>
      </w:pPr>
      <w:bookmarkStart w:id="75" w:name="h.kn632yysfgn7" w:colFirst="0" w:colLast="0"/>
      <w:bookmarkStart w:id="76" w:name="_Toc332281959"/>
      <w:bookmarkStart w:id="77" w:name="_Toc348543384"/>
      <w:bookmarkEnd w:id="49"/>
      <w:bookmarkEnd w:id="75"/>
      <w:r>
        <w:t>Appendix A: Monitoring Inventory Template</w:t>
      </w:r>
    </w:p>
    <w:p w14:paraId="33621066" w14:textId="77777777" w:rsidR="008A7E61" w:rsidRDefault="008A7E61" w:rsidP="008A7E61">
      <w:pPr>
        <w:rPr>
          <w:b/>
          <w:sz w:val="32"/>
          <w:szCs w:val="32"/>
        </w:rPr>
      </w:pPr>
    </w:p>
    <w:p w14:paraId="541BD5AC" w14:textId="77777777" w:rsidR="008A7E61" w:rsidRDefault="008A7E61" w:rsidP="008A7E61">
      <w:pPr>
        <w:pStyle w:val="normal0"/>
      </w:pPr>
      <w:r>
        <w:t>[Unit] Monitoring Practices Inventory</w:t>
      </w:r>
    </w:p>
    <w:tbl>
      <w:tblPr>
        <w:tblW w:w="10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1975"/>
        <w:gridCol w:w="2250"/>
        <w:gridCol w:w="2070"/>
        <w:gridCol w:w="1890"/>
      </w:tblGrid>
      <w:tr w:rsidR="008A7E61" w14:paraId="4344145F" w14:textId="77777777" w:rsidTr="006E701D">
        <w:tc>
          <w:tcPr>
            <w:tcW w:w="1815" w:type="dxa"/>
            <w:shd w:val="clear" w:color="auto" w:fill="F9CB9C"/>
            <w:tcMar>
              <w:top w:w="100" w:type="dxa"/>
              <w:left w:w="100" w:type="dxa"/>
              <w:bottom w:w="100" w:type="dxa"/>
              <w:right w:w="100" w:type="dxa"/>
            </w:tcMar>
          </w:tcPr>
          <w:p w14:paraId="4AE0FF4D" w14:textId="77777777" w:rsidR="008A7E61" w:rsidRDefault="008A7E61" w:rsidP="006E701D">
            <w:pPr>
              <w:pStyle w:val="normal0"/>
              <w:widowControl w:val="0"/>
            </w:pPr>
            <w:r>
              <w:rPr>
                <w:rFonts w:ascii="Helvetica Neue" w:eastAsia="Helvetica Neue" w:hAnsi="Helvetica Neue" w:cs="Helvetica Neue"/>
                <w:sz w:val="18"/>
                <w:szCs w:val="18"/>
              </w:rPr>
              <w:t>Method (implementation status)</w:t>
            </w:r>
          </w:p>
        </w:tc>
        <w:tc>
          <w:tcPr>
            <w:tcW w:w="1975" w:type="dxa"/>
            <w:shd w:val="clear" w:color="auto" w:fill="F9CB9C"/>
            <w:tcMar>
              <w:top w:w="100" w:type="dxa"/>
              <w:left w:w="100" w:type="dxa"/>
              <w:bottom w:w="100" w:type="dxa"/>
              <w:right w:w="100" w:type="dxa"/>
            </w:tcMar>
          </w:tcPr>
          <w:p w14:paraId="34AF0251" w14:textId="77777777" w:rsidR="008A7E61" w:rsidRDefault="008A7E61" w:rsidP="006E701D">
            <w:pPr>
              <w:pStyle w:val="normal0"/>
              <w:widowControl w:val="0"/>
            </w:pPr>
            <w:r>
              <w:rPr>
                <w:rFonts w:ascii="Helvetica Neue" w:eastAsia="Helvetica Neue" w:hAnsi="Helvetica Neue" w:cs="Helvetica Neue"/>
                <w:sz w:val="18"/>
                <w:szCs w:val="18"/>
              </w:rPr>
              <w:t>Summary</w:t>
            </w:r>
          </w:p>
        </w:tc>
        <w:tc>
          <w:tcPr>
            <w:tcW w:w="2250" w:type="dxa"/>
            <w:shd w:val="clear" w:color="auto" w:fill="F9CB9C"/>
            <w:tcMar>
              <w:top w:w="100" w:type="dxa"/>
              <w:left w:w="100" w:type="dxa"/>
              <w:bottom w:w="100" w:type="dxa"/>
              <w:right w:w="100" w:type="dxa"/>
            </w:tcMar>
          </w:tcPr>
          <w:p w14:paraId="38F8B2FF" w14:textId="77777777" w:rsidR="008A7E61" w:rsidRDefault="008A7E61" w:rsidP="006E701D">
            <w:pPr>
              <w:pStyle w:val="normal0"/>
              <w:widowControl w:val="0"/>
            </w:pPr>
            <w:r>
              <w:rPr>
                <w:rFonts w:ascii="Helvetica Neue" w:eastAsia="Helvetica Neue" w:hAnsi="Helvetica Neue" w:cs="Helvetica Neue"/>
                <w:sz w:val="18"/>
                <w:szCs w:val="18"/>
              </w:rPr>
              <w:t>Purpose</w:t>
            </w:r>
          </w:p>
        </w:tc>
        <w:tc>
          <w:tcPr>
            <w:tcW w:w="2070" w:type="dxa"/>
            <w:shd w:val="clear" w:color="auto" w:fill="F9CB9C"/>
            <w:tcMar>
              <w:top w:w="100" w:type="dxa"/>
              <w:left w:w="100" w:type="dxa"/>
              <w:bottom w:w="100" w:type="dxa"/>
              <w:right w:w="100" w:type="dxa"/>
            </w:tcMar>
          </w:tcPr>
          <w:p w14:paraId="37F7A4BF" w14:textId="77777777" w:rsidR="008A7E61" w:rsidRDefault="008A7E61" w:rsidP="006E701D">
            <w:pPr>
              <w:pStyle w:val="normal0"/>
              <w:widowControl w:val="0"/>
            </w:pPr>
            <w:r>
              <w:rPr>
                <w:rFonts w:ascii="Helvetica Neue" w:eastAsia="Helvetica Neue" w:hAnsi="Helvetica Neue" w:cs="Helvetica Neue"/>
                <w:sz w:val="18"/>
                <w:szCs w:val="18"/>
              </w:rPr>
              <w:t>Data Examined/Collected; Retention Period</w:t>
            </w:r>
          </w:p>
        </w:tc>
        <w:tc>
          <w:tcPr>
            <w:tcW w:w="1890" w:type="dxa"/>
            <w:shd w:val="clear" w:color="auto" w:fill="F9CB9C"/>
            <w:tcMar>
              <w:top w:w="100" w:type="dxa"/>
              <w:left w:w="100" w:type="dxa"/>
              <w:bottom w:w="100" w:type="dxa"/>
              <w:right w:w="100" w:type="dxa"/>
            </w:tcMar>
          </w:tcPr>
          <w:p w14:paraId="3278117F" w14:textId="77777777" w:rsidR="008A7E61" w:rsidRDefault="008A7E61" w:rsidP="006E701D">
            <w:pPr>
              <w:pStyle w:val="normal0"/>
              <w:widowControl w:val="0"/>
            </w:pPr>
            <w:r>
              <w:rPr>
                <w:rFonts w:ascii="Helvetica Neue" w:eastAsia="Helvetica Neue" w:hAnsi="Helvetica Neue" w:cs="Helvetica Neue"/>
                <w:sz w:val="18"/>
                <w:szCs w:val="18"/>
              </w:rPr>
              <w:t>Recommendation* (source)</w:t>
            </w:r>
          </w:p>
        </w:tc>
      </w:tr>
      <w:tr w:rsidR="008A7E61" w:rsidRPr="00117EFA" w14:paraId="7CCCD36C" w14:textId="77777777" w:rsidTr="006E701D">
        <w:tc>
          <w:tcPr>
            <w:tcW w:w="1815" w:type="dxa"/>
            <w:shd w:val="clear" w:color="auto" w:fill="EAD1DC"/>
            <w:tcMar>
              <w:top w:w="100" w:type="dxa"/>
              <w:left w:w="100" w:type="dxa"/>
              <w:bottom w:w="100" w:type="dxa"/>
              <w:right w:w="100" w:type="dxa"/>
            </w:tcMar>
          </w:tcPr>
          <w:p w14:paraId="25CE552F" w14:textId="77777777" w:rsidR="008A7E61" w:rsidRDefault="008A7E61" w:rsidP="006E701D">
            <w:pPr>
              <w:pStyle w:val="normal0"/>
              <w:widowControl w:val="0"/>
              <w:rPr>
                <w:rFonts w:ascii="Helvetica Neue" w:eastAsia="Helvetica Neue" w:hAnsi="Helvetica Neue" w:cs="Helvetica Neue"/>
                <w:i/>
                <w:color w:val="7F7F7F" w:themeColor="text1" w:themeTint="80"/>
                <w:sz w:val="18"/>
                <w:szCs w:val="18"/>
              </w:rPr>
            </w:pPr>
            <w:r>
              <w:rPr>
                <w:rFonts w:ascii="Helvetica Neue" w:eastAsia="Helvetica Neue" w:hAnsi="Helvetica Neue" w:cs="Helvetica Neue"/>
                <w:i/>
                <w:color w:val="7F7F7F" w:themeColor="text1" w:themeTint="80"/>
                <w:sz w:val="18"/>
                <w:szCs w:val="18"/>
              </w:rPr>
              <w:t>Example:</w:t>
            </w:r>
          </w:p>
          <w:p w14:paraId="77A6A94A" w14:textId="77777777" w:rsidR="008A7E61" w:rsidRPr="00117EFA" w:rsidRDefault="008A7E61" w:rsidP="006E701D">
            <w:pPr>
              <w:pStyle w:val="normal0"/>
              <w:widowControl w:val="0"/>
              <w:rPr>
                <w:i/>
                <w:color w:val="7F7F7F" w:themeColor="text1" w:themeTint="80"/>
              </w:rPr>
            </w:pPr>
            <w:r w:rsidRPr="00117EFA">
              <w:rPr>
                <w:rFonts w:ascii="Helvetica Neue" w:eastAsia="Helvetica Neue" w:hAnsi="Helvetica Neue" w:cs="Helvetica Neue"/>
                <w:i/>
                <w:color w:val="7F7F7F" w:themeColor="text1" w:themeTint="80"/>
                <w:sz w:val="18"/>
                <w:szCs w:val="18"/>
              </w:rPr>
              <w:t>1. Central Authentication Audit (new)</w:t>
            </w:r>
          </w:p>
        </w:tc>
        <w:tc>
          <w:tcPr>
            <w:tcW w:w="1975" w:type="dxa"/>
            <w:tcMar>
              <w:top w:w="100" w:type="dxa"/>
              <w:left w:w="100" w:type="dxa"/>
              <w:bottom w:w="100" w:type="dxa"/>
              <w:right w:w="100" w:type="dxa"/>
            </w:tcMar>
          </w:tcPr>
          <w:p w14:paraId="4FB96515" w14:textId="77777777" w:rsidR="008A7E61" w:rsidRPr="00117EFA" w:rsidRDefault="008A7E61" w:rsidP="006E701D">
            <w:pPr>
              <w:pStyle w:val="normal0"/>
              <w:widowControl w:val="0"/>
              <w:rPr>
                <w:i/>
                <w:color w:val="7F7F7F" w:themeColor="text1" w:themeTint="80"/>
              </w:rPr>
            </w:pPr>
            <w:proofErr w:type="spellStart"/>
            <w:r w:rsidRPr="00117EFA">
              <w:rPr>
                <w:rFonts w:ascii="Helvetica Neue" w:eastAsia="Helvetica Neue" w:hAnsi="Helvetica Neue" w:cs="Helvetica Neue"/>
                <w:i/>
                <w:color w:val="7F7F7F" w:themeColor="text1" w:themeTint="80"/>
                <w:sz w:val="18"/>
                <w:szCs w:val="18"/>
              </w:rPr>
              <w:t>CalNet</w:t>
            </w:r>
            <w:proofErr w:type="spellEnd"/>
            <w:r w:rsidRPr="00117EFA">
              <w:rPr>
                <w:rFonts w:ascii="Helvetica Neue" w:eastAsia="Helvetica Neue" w:hAnsi="Helvetica Neue" w:cs="Helvetica Neue"/>
                <w:i/>
                <w:color w:val="7F7F7F" w:themeColor="text1" w:themeTint="80"/>
                <w:sz w:val="18"/>
                <w:szCs w:val="18"/>
              </w:rPr>
              <w:t xml:space="preserve"> login attempts associated with geographic location. </w:t>
            </w:r>
          </w:p>
          <w:p w14:paraId="1667B15F" w14:textId="77777777" w:rsidR="008A7E61" w:rsidRPr="00117EFA" w:rsidRDefault="008A7E61" w:rsidP="006E701D">
            <w:pPr>
              <w:pStyle w:val="normal0"/>
              <w:widowControl w:val="0"/>
              <w:rPr>
                <w:i/>
                <w:color w:val="7F7F7F" w:themeColor="text1" w:themeTint="80"/>
              </w:rPr>
            </w:pPr>
          </w:p>
          <w:p w14:paraId="230C3BB7" w14:textId="77777777" w:rsidR="008A7E61" w:rsidRPr="00117EFA" w:rsidRDefault="008A7E61" w:rsidP="006E701D">
            <w:pPr>
              <w:pStyle w:val="normal0"/>
              <w:widowControl w:val="0"/>
              <w:rPr>
                <w:i/>
                <w:color w:val="7F7F7F" w:themeColor="text1" w:themeTint="80"/>
              </w:rPr>
            </w:pPr>
            <w:r w:rsidRPr="00117EFA">
              <w:rPr>
                <w:rFonts w:ascii="Helvetica Neue" w:eastAsia="Helvetica Neue" w:hAnsi="Helvetica Neue" w:cs="Helvetica Neue"/>
                <w:i/>
                <w:color w:val="7F7F7F" w:themeColor="text1" w:themeTint="80"/>
                <w:sz w:val="18"/>
                <w:szCs w:val="18"/>
              </w:rPr>
              <w:t xml:space="preserve">Baseline patterns of systems and user authentication behavior </w:t>
            </w:r>
          </w:p>
        </w:tc>
        <w:tc>
          <w:tcPr>
            <w:tcW w:w="2250" w:type="dxa"/>
            <w:tcMar>
              <w:top w:w="100" w:type="dxa"/>
              <w:left w:w="100" w:type="dxa"/>
              <w:bottom w:w="100" w:type="dxa"/>
              <w:right w:w="100" w:type="dxa"/>
            </w:tcMar>
          </w:tcPr>
          <w:p w14:paraId="275BA9C8" w14:textId="77777777" w:rsidR="008A7E61" w:rsidRPr="00117EFA" w:rsidRDefault="008A7E61" w:rsidP="006E701D">
            <w:pPr>
              <w:pStyle w:val="normal0"/>
              <w:widowControl w:val="0"/>
              <w:rPr>
                <w:i/>
                <w:color w:val="7F7F7F" w:themeColor="text1" w:themeTint="80"/>
              </w:rPr>
            </w:pPr>
            <w:r w:rsidRPr="00117EFA">
              <w:rPr>
                <w:rFonts w:ascii="Helvetica Neue" w:eastAsia="Helvetica Neue" w:hAnsi="Helvetica Neue" w:cs="Helvetica Neue"/>
                <w:i/>
                <w:color w:val="7F7F7F" w:themeColor="text1" w:themeTint="80"/>
                <w:sz w:val="18"/>
                <w:szCs w:val="18"/>
              </w:rPr>
              <w:t>Rule-based alerts for geographically dispersed simultaneous logins and excessive failed logins.</w:t>
            </w:r>
          </w:p>
          <w:p w14:paraId="028D3062" w14:textId="77777777" w:rsidR="008A7E61" w:rsidRPr="00117EFA" w:rsidRDefault="008A7E61" w:rsidP="006E701D">
            <w:pPr>
              <w:pStyle w:val="normal0"/>
              <w:widowControl w:val="0"/>
              <w:rPr>
                <w:i/>
                <w:color w:val="7F7F7F" w:themeColor="text1" w:themeTint="80"/>
              </w:rPr>
            </w:pPr>
            <w:r w:rsidRPr="00117EFA">
              <w:rPr>
                <w:rFonts w:ascii="Helvetica Neue" w:eastAsia="Helvetica Neue" w:hAnsi="Helvetica Neue" w:cs="Helvetica Neue"/>
                <w:i/>
                <w:color w:val="7F7F7F" w:themeColor="text1" w:themeTint="80"/>
                <w:sz w:val="18"/>
                <w:szCs w:val="18"/>
              </w:rPr>
              <w:t>Detect anomalies from baseline behavior to identify potential security compromises.</w:t>
            </w:r>
          </w:p>
        </w:tc>
        <w:tc>
          <w:tcPr>
            <w:tcW w:w="2070" w:type="dxa"/>
            <w:tcMar>
              <w:top w:w="100" w:type="dxa"/>
              <w:left w:w="100" w:type="dxa"/>
              <w:bottom w:w="100" w:type="dxa"/>
              <w:right w:w="100" w:type="dxa"/>
            </w:tcMar>
          </w:tcPr>
          <w:p w14:paraId="7D85C117" w14:textId="77777777" w:rsidR="008A7E61" w:rsidRPr="00F71A65" w:rsidRDefault="008A7E61" w:rsidP="006E701D">
            <w:pPr>
              <w:pStyle w:val="normal0"/>
              <w:keepNext/>
              <w:keepLines/>
              <w:widowControl w:val="0"/>
              <w:spacing w:before="200" w:after="40"/>
              <w:contextualSpacing/>
              <w:outlineLvl w:val="5"/>
              <w:rPr>
                <w:rFonts w:ascii="Helvetica Neue" w:hAnsi="Helvetica Neue"/>
                <w:i/>
                <w:color w:val="7F7F7F" w:themeColor="text1" w:themeTint="80"/>
              </w:rPr>
            </w:pPr>
            <w:r w:rsidRPr="00B568F7">
              <w:rPr>
                <w:rFonts w:ascii="Helvetica Neue" w:eastAsia="Helvetica Neue" w:hAnsi="Helvetica Neue" w:cs="Helvetica Neue"/>
                <w:b/>
                <w:i/>
                <w:color w:val="7F7F7F" w:themeColor="text1" w:themeTint="80"/>
                <w:sz w:val="18"/>
                <w:szCs w:val="18"/>
              </w:rPr>
              <w:t>All</w:t>
            </w:r>
            <w:r w:rsidRPr="00B568F7">
              <w:rPr>
                <w:rFonts w:ascii="Helvetica Neue" w:eastAsia="Helvetica Neue" w:hAnsi="Helvetica Neue" w:cs="Helvetica Neue"/>
                <w:i/>
                <w:color w:val="7F7F7F" w:themeColor="text1" w:themeTint="80"/>
                <w:sz w:val="18"/>
                <w:szCs w:val="18"/>
              </w:rPr>
              <w:t xml:space="preserve"> </w:t>
            </w:r>
            <w:proofErr w:type="spellStart"/>
            <w:r w:rsidRPr="00F71A65">
              <w:rPr>
                <w:rFonts w:ascii="Helvetica Neue" w:hAnsi="Helvetica Neue"/>
                <w:i/>
                <w:color w:val="7F7F7F" w:themeColor="text1" w:themeTint="80"/>
                <w:sz w:val="18"/>
                <w:szCs w:val="18"/>
              </w:rPr>
              <w:t>CalNet</w:t>
            </w:r>
            <w:proofErr w:type="spellEnd"/>
            <w:r w:rsidRPr="00F71A65">
              <w:rPr>
                <w:rFonts w:ascii="Helvetica Neue" w:hAnsi="Helvetica Neue"/>
                <w:i/>
                <w:color w:val="7F7F7F" w:themeColor="text1" w:themeTint="80"/>
                <w:sz w:val="18"/>
                <w:szCs w:val="18"/>
              </w:rPr>
              <w:t xml:space="preserve"> authentication attempts correlated with geographic location </w:t>
            </w:r>
          </w:p>
          <w:p w14:paraId="0F4D96FB" w14:textId="77777777" w:rsidR="008A7E61" w:rsidRPr="00117EFA" w:rsidRDefault="008A7E61" w:rsidP="006E701D">
            <w:pPr>
              <w:pStyle w:val="normal0"/>
              <w:widowControl w:val="0"/>
              <w:rPr>
                <w:i/>
                <w:color w:val="7F7F7F" w:themeColor="text1" w:themeTint="80"/>
              </w:rPr>
            </w:pPr>
            <w:r w:rsidRPr="00117EFA">
              <w:rPr>
                <w:rFonts w:ascii="Helvetica Neue" w:eastAsia="Helvetica Neue" w:hAnsi="Helvetica Neue" w:cs="Helvetica Neue"/>
                <w:i/>
                <w:color w:val="7F7F7F" w:themeColor="text1" w:themeTint="80"/>
                <w:sz w:val="18"/>
                <w:szCs w:val="18"/>
              </w:rPr>
              <w:t xml:space="preserve">For PL2 (critical) assets and </w:t>
            </w:r>
            <w:proofErr w:type="spellStart"/>
            <w:r w:rsidRPr="00117EFA">
              <w:rPr>
                <w:rFonts w:ascii="Helvetica Neue" w:eastAsia="Helvetica Neue" w:hAnsi="Helvetica Neue" w:cs="Helvetica Neue"/>
                <w:i/>
                <w:color w:val="7F7F7F" w:themeColor="text1" w:themeTint="80"/>
                <w:sz w:val="18"/>
                <w:szCs w:val="18"/>
              </w:rPr>
              <w:t>and</w:t>
            </w:r>
            <w:proofErr w:type="spellEnd"/>
            <w:r w:rsidRPr="00117EFA">
              <w:rPr>
                <w:rFonts w:ascii="Helvetica Neue" w:eastAsia="Helvetica Neue" w:hAnsi="Helvetica Neue" w:cs="Helvetica Neue"/>
                <w:i/>
                <w:color w:val="7F7F7F" w:themeColor="text1" w:themeTint="80"/>
                <w:sz w:val="18"/>
                <w:szCs w:val="18"/>
              </w:rPr>
              <w:t xml:space="preserve"> users who access those assets: baseline authentication behavior (patterns)</w:t>
            </w:r>
          </w:p>
          <w:p w14:paraId="2EA5DCE6" w14:textId="77777777" w:rsidR="008A7E61" w:rsidRPr="00117EFA" w:rsidRDefault="008A7E61" w:rsidP="006E701D">
            <w:pPr>
              <w:pStyle w:val="normal0"/>
              <w:widowControl w:val="0"/>
              <w:numPr>
                <w:ilvl w:val="0"/>
                <w:numId w:val="18"/>
              </w:numPr>
              <w:ind w:left="345" w:hanging="270"/>
              <w:contextualSpacing/>
              <w:rPr>
                <w:rFonts w:ascii="Helvetica Neue" w:eastAsia="Helvetica Neue" w:hAnsi="Helvetica Neue" w:cs="Helvetica Neue"/>
                <w:i/>
                <w:color w:val="7F7F7F" w:themeColor="text1" w:themeTint="80"/>
                <w:sz w:val="18"/>
                <w:szCs w:val="18"/>
              </w:rPr>
            </w:pPr>
            <w:r w:rsidRPr="00117EFA">
              <w:rPr>
                <w:rFonts w:ascii="Helvetica Neue" w:eastAsia="Helvetica Neue" w:hAnsi="Helvetica Neue" w:cs="Helvetica Neue"/>
                <w:i/>
                <w:color w:val="7F7F7F" w:themeColor="text1" w:themeTint="80"/>
                <w:sz w:val="18"/>
                <w:szCs w:val="18"/>
              </w:rPr>
              <w:t>1 year retention</w:t>
            </w:r>
          </w:p>
        </w:tc>
        <w:tc>
          <w:tcPr>
            <w:tcW w:w="1890" w:type="dxa"/>
            <w:tcMar>
              <w:top w:w="100" w:type="dxa"/>
              <w:left w:w="100" w:type="dxa"/>
              <w:bottom w:w="100" w:type="dxa"/>
              <w:right w:w="100" w:type="dxa"/>
            </w:tcMar>
          </w:tcPr>
          <w:p w14:paraId="2C18227F" w14:textId="77777777" w:rsidR="008A7E61" w:rsidRPr="00117EFA" w:rsidRDefault="008A7E61" w:rsidP="006E701D">
            <w:pPr>
              <w:pStyle w:val="normal0"/>
              <w:widowControl w:val="0"/>
              <w:rPr>
                <w:i/>
                <w:color w:val="7F7F7F" w:themeColor="text1" w:themeTint="80"/>
              </w:rPr>
            </w:pPr>
            <w:r w:rsidRPr="00117EFA">
              <w:rPr>
                <w:rFonts w:ascii="Helvetica Neue" w:eastAsia="Helvetica Neue" w:hAnsi="Helvetica Neue" w:cs="Helvetica Neue"/>
                <w:i/>
                <w:color w:val="7F7F7F" w:themeColor="text1" w:themeTint="80"/>
                <w:sz w:val="18"/>
                <w:szCs w:val="18"/>
              </w:rPr>
              <w:t xml:space="preserve">Recommend Approval  </w:t>
            </w:r>
          </w:p>
          <w:p w14:paraId="34F02BCB" w14:textId="77777777" w:rsidR="008A7E61" w:rsidRPr="00117EFA" w:rsidRDefault="008A7E61" w:rsidP="006E701D">
            <w:pPr>
              <w:pStyle w:val="normal0"/>
              <w:widowControl w:val="0"/>
              <w:rPr>
                <w:i/>
                <w:color w:val="7F7F7F" w:themeColor="text1" w:themeTint="80"/>
              </w:rPr>
            </w:pPr>
            <w:r w:rsidRPr="00117EFA">
              <w:rPr>
                <w:rFonts w:ascii="Helvetica Neue" w:eastAsia="Helvetica Neue" w:hAnsi="Helvetica Neue" w:cs="Helvetica Neue"/>
                <w:i/>
                <w:color w:val="7F7F7F" w:themeColor="text1" w:themeTint="80"/>
                <w:sz w:val="18"/>
                <w:szCs w:val="18"/>
              </w:rPr>
              <w:t>(CISPC, CPO, CISO)</w:t>
            </w:r>
          </w:p>
        </w:tc>
      </w:tr>
      <w:tr w:rsidR="008A7E61" w:rsidRPr="00117EFA" w14:paraId="0C8E2EE5" w14:textId="77777777" w:rsidTr="006E701D">
        <w:tc>
          <w:tcPr>
            <w:tcW w:w="1815" w:type="dxa"/>
            <w:shd w:val="clear" w:color="auto" w:fill="EAD1DC"/>
            <w:tcMar>
              <w:top w:w="100" w:type="dxa"/>
              <w:left w:w="100" w:type="dxa"/>
              <w:bottom w:w="100" w:type="dxa"/>
              <w:right w:w="100" w:type="dxa"/>
            </w:tcMar>
          </w:tcPr>
          <w:p w14:paraId="58D7DDC7"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1975" w:type="dxa"/>
            <w:tcMar>
              <w:top w:w="100" w:type="dxa"/>
              <w:left w:w="100" w:type="dxa"/>
              <w:bottom w:w="100" w:type="dxa"/>
              <w:right w:w="100" w:type="dxa"/>
            </w:tcMar>
          </w:tcPr>
          <w:p w14:paraId="6C640BC2"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2250" w:type="dxa"/>
            <w:tcMar>
              <w:top w:w="100" w:type="dxa"/>
              <w:left w:w="100" w:type="dxa"/>
              <w:bottom w:w="100" w:type="dxa"/>
              <w:right w:w="100" w:type="dxa"/>
            </w:tcMar>
          </w:tcPr>
          <w:p w14:paraId="552403F7"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2070" w:type="dxa"/>
            <w:tcMar>
              <w:top w:w="100" w:type="dxa"/>
              <w:left w:w="100" w:type="dxa"/>
              <w:bottom w:w="100" w:type="dxa"/>
              <w:right w:w="100" w:type="dxa"/>
            </w:tcMar>
          </w:tcPr>
          <w:p w14:paraId="61B9098C" w14:textId="77777777" w:rsidR="008A7E61" w:rsidRPr="00117EFA" w:rsidRDefault="008A7E61" w:rsidP="006E701D">
            <w:pPr>
              <w:pStyle w:val="normal0"/>
              <w:widowControl w:val="0"/>
              <w:rPr>
                <w:rFonts w:ascii="Helvetica Neue" w:eastAsia="Helvetica Neue" w:hAnsi="Helvetica Neue" w:cs="Helvetica Neue"/>
                <w:b/>
                <w:i/>
                <w:color w:val="7F7F7F" w:themeColor="text1" w:themeTint="80"/>
                <w:sz w:val="18"/>
                <w:szCs w:val="18"/>
              </w:rPr>
            </w:pPr>
          </w:p>
        </w:tc>
        <w:tc>
          <w:tcPr>
            <w:tcW w:w="1890" w:type="dxa"/>
            <w:tcMar>
              <w:top w:w="100" w:type="dxa"/>
              <w:left w:w="100" w:type="dxa"/>
              <w:bottom w:w="100" w:type="dxa"/>
              <w:right w:w="100" w:type="dxa"/>
            </w:tcMar>
          </w:tcPr>
          <w:p w14:paraId="12B03281"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r>
      <w:tr w:rsidR="008A7E61" w:rsidRPr="00117EFA" w14:paraId="4C151BA3" w14:textId="77777777" w:rsidTr="006E701D">
        <w:tc>
          <w:tcPr>
            <w:tcW w:w="1815" w:type="dxa"/>
            <w:shd w:val="clear" w:color="auto" w:fill="EAD1DC"/>
            <w:tcMar>
              <w:top w:w="100" w:type="dxa"/>
              <w:left w:w="100" w:type="dxa"/>
              <w:bottom w:w="100" w:type="dxa"/>
              <w:right w:w="100" w:type="dxa"/>
            </w:tcMar>
          </w:tcPr>
          <w:p w14:paraId="45A9CB3A"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1975" w:type="dxa"/>
            <w:tcMar>
              <w:top w:w="100" w:type="dxa"/>
              <w:left w:w="100" w:type="dxa"/>
              <w:bottom w:w="100" w:type="dxa"/>
              <w:right w:w="100" w:type="dxa"/>
            </w:tcMar>
          </w:tcPr>
          <w:p w14:paraId="1DE64737"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2250" w:type="dxa"/>
            <w:tcMar>
              <w:top w:w="100" w:type="dxa"/>
              <w:left w:w="100" w:type="dxa"/>
              <w:bottom w:w="100" w:type="dxa"/>
              <w:right w:w="100" w:type="dxa"/>
            </w:tcMar>
          </w:tcPr>
          <w:p w14:paraId="2646C5F9"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2070" w:type="dxa"/>
            <w:tcMar>
              <w:top w:w="100" w:type="dxa"/>
              <w:left w:w="100" w:type="dxa"/>
              <w:bottom w:w="100" w:type="dxa"/>
              <w:right w:w="100" w:type="dxa"/>
            </w:tcMar>
          </w:tcPr>
          <w:p w14:paraId="0425B5C1" w14:textId="77777777" w:rsidR="008A7E61" w:rsidRPr="00117EFA" w:rsidRDefault="008A7E61" w:rsidP="006E701D">
            <w:pPr>
              <w:pStyle w:val="normal0"/>
              <w:widowControl w:val="0"/>
              <w:rPr>
                <w:rFonts w:ascii="Helvetica Neue" w:eastAsia="Helvetica Neue" w:hAnsi="Helvetica Neue" w:cs="Helvetica Neue"/>
                <w:b/>
                <w:i/>
                <w:color w:val="7F7F7F" w:themeColor="text1" w:themeTint="80"/>
                <w:sz w:val="18"/>
                <w:szCs w:val="18"/>
              </w:rPr>
            </w:pPr>
          </w:p>
        </w:tc>
        <w:tc>
          <w:tcPr>
            <w:tcW w:w="1890" w:type="dxa"/>
            <w:tcMar>
              <w:top w:w="100" w:type="dxa"/>
              <w:left w:w="100" w:type="dxa"/>
              <w:bottom w:w="100" w:type="dxa"/>
              <w:right w:w="100" w:type="dxa"/>
            </w:tcMar>
          </w:tcPr>
          <w:p w14:paraId="35BA6DDA"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r>
      <w:tr w:rsidR="008A7E61" w:rsidRPr="00117EFA" w14:paraId="265F422F" w14:textId="77777777" w:rsidTr="006E701D">
        <w:tc>
          <w:tcPr>
            <w:tcW w:w="1815" w:type="dxa"/>
            <w:shd w:val="clear" w:color="auto" w:fill="EAD1DC"/>
            <w:tcMar>
              <w:top w:w="100" w:type="dxa"/>
              <w:left w:w="100" w:type="dxa"/>
              <w:bottom w:w="100" w:type="dxa"/>
              <w:right w:w="100" w:type="dxa"/>
            </w:tcMar>
          </w:tcPr>
          <w:p w14:paraId="60D21514"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1975" w:type="dxa"/>
            <w:tcMar>
              <w:top w:w="100" w:type="dxa"/>
              <w:left w:w="100" w:type="dxa"/>
              <w:bottom w:w="100" w:type="dxa"/>
              <w:right w:w="100" w:type="dxa"/>
            </w:tcMar>
          </w:tcPr>
          <w:p w14:paraId="767F8A70"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2250" w:type="dxa"/>
            <w:tcMar>
              <w:top w:w="100" w:type="dxa"/>
              <w:left w:w="100" w:type="dxa"/>
              <w:bottom w:w="100" w:type="dxa"/>
              <w:right w:w="100" w:type="dxa"/>
            </w:tcMar>
          </w:tcPr>
          <w:p w14:paraId="15EED34A"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c>
          <w:tcPr>
            <w:tcW w:w="2070" w:type="dxa"/>
            <w:tcMar>
              <w:top w:w="100" w:type="dxa"/>
              <w:left w:w="100" w:type="dxa"/>
              <w:bottom w:w="100" w:type="dxa"/>
              <w:right w:w="100" w:type="dxa"/>
            </w:tcMar>
          </w:tcPr>
          <w:p w14:paraId="062C873E" w14:textId="77777777" w:rsidR="008A7E61" w:rsidRPr="00117EFA" w:rsidRDefault="008A7E61" w:rsidP="006E701D">
            <w:pPr>
              <w:pStyle w:val="normal0"/>
              <w:widowControl w:val="0"/>
              <w:rPr>
                <w:rFonts w:ascii="Helvetica Neue" w:eastAsia="Helvetica Neue" w:hAnsi="Helvetica Neue" w:cs="Helvetica Neue"/>
                <w:b/>
                <w:i/>
                <w:color w:val="7F7F7F" w:themeColor="text1" w:themeTint="80"/>
                <w:sz w:val="18"/>
                <w:szCs w:val="18"/>
              </w:rPr>
            </w:pPr>
          </w:p>
        </w:tc>
        <w:tc>
          <w:tcPr>
            <w:tcW w:w="1890" w:type="dxa"/>
            <w:tcMar>
              <w:top w:w="100" w:type="dxa"/>
              <w:left w:w="100" w:type="dxa"/>
              <w:bottom w:w="100" w:type="dxa"/>
              <w:right w:w="100" w:type="dxa"/>
            </w:tcMar>
          </w:tcPr>
          <w:p w14:paraId="754D0254" w14:textId="77777777" w:rsidR="008A7E61" w:rsidRPr="00117EFA" w:rsidRDefault="008A7E61" w:rsidP="006E701D">
            <w:pPr>
              <w:pStyle w:val="normal0"/>
              <w:widowControl w:val="0"/>
              <w:rPr>
                <w:rFonts w:ascii="Helvetica Neue" w:eastAsia="Helvetica Neue" w:hAnsi="Helvetica Neue" w:cs="Helvetica Neue"/>
                <w:i/>
                <w:color w:val="7F7F7F" w:themeColor="text1" w:themeTint="80"/>
                <w:sz w:val="18"/>
                <w:szCs w:val="18"/>
              </w:rPr>
            </w:pPr>
          </w:p>
        </w:tc>
      </w:tr>
    </w:tbl>
    <w:p w14:paraId="2F7ACDAE" w14:textId="77777777" w:rsidR="008A7E61" w:rsidRDefault="008A7E61" w:rsidP="008A7E61">
      <w:pPr>
        <w:pStyle w:val="normal0"/>
        <w:widowControl w:val="0"/>
      </w:pPr>
    </w:p>
    <w:p w14:paraId="1531666D" w14:textId="77777777" w:rsidR="008A7E61" w:rsidRDefault="008A7E61" w:rsidP="008A7E61">
      <w:pPr>
        <w:pStyle w:val="normal0"/>
        <w:widowControl w:val="0"/>
        <w:ind w:right="-540"/>
        <w:jc w:val="right"/>
      </w:pPr>
      <w:r>
        <w:rPr>
          <w:rFonts w:ascii="Helvetica Neue" w:eastAsia="Helvetica Neue" w:hAnsi="Helvetica Neue" w:cs="Helvetica Neue"/>
          <w:sz w:val="18"/>
          <w:szCs w:val="18"/>
        </w:rPr>
        <w:t>*CISPC: Campus Information Security and Privacy Committee (advisory to IRGC)</w:t>
      </w:r>
    </w:p>
    <w:p w14:paraId="233331C0" w14:textId="77777777" w:rsidR="008A7E61" w:rsidRDefault="008A7E61" w:rsidP="008A7E61">
      <w:pPr>
        <w:pStyle w:val="normal0"/>
        <w:widowControl w:val="0"/>
        <w:ind w:right="-540"/>
        <w:jc w:val="right"/>
      </w:pPr>
      <w:r>
        <w:rPr>
          <w:rFonts w:ascii="Helvetica Neue" w:eastAsia="Helvetica Neue" w:hAnsi="Helvetica Neue" w:cs="Helvetica Neue"/>
          <w:sz w:val="18"/>
          <w:szCs w:val="18"/>
        </w:rPr>
        <w:t>CPO: Campus Privacy Officer</w:t>
      </w:r>
    </w:p>
    <w:p w14:paraId="7E085788" w14:textId="77777777" w:rsidR="008A7E61" w:rsidRDefault="008A7E61" w:rsidP="008A7E61">
      <w:pPr>
        <w:pStyle w:val="normal0"/>
        <w:widowControl w:val="0"/>
        <w:ind w:right="-540"/>
        <w:jc w:val="right"/>
      </w:pPr>
      <w:r>
        <w:rPr>
          <w:rFonts w:ascii="Helvetica Neue" w:eastAsia="Helvetica Neue" w:hAnsi="Helvetica Neue" w:cs="Helvetica Neue"/>
          <w:sz w:val="18"/>
          <w:szCs w:val="18"/>
        </w:rPr>
        <w:t>CISO: Chief Information Security Officer</w:t>
      </w:r>
    </w:p>
    <w:p w14:paraId="03075EA8" w14:textId="225B9A7E" w:rsidR="00820447" w:rsidRDefault="00820447" w:rsidP="007F301F">
      <w:pPr>
        <w:pStyle w:val="Heading1"/>
        <w:contextualSpacing w:val="0"/>
      </w:pPr>
      <w:bookmarkStart w:id="78" w:name="h.agf3a88c5bdm" w:colFirst="0" w:colLast="0"/>
      <w:bookmarkStart w:id="79" w:name="_Toc348543409"/>
      <w:bookmarkStart w:id="80" w:name="_Toc332281971"/>
      <w:bookmarkEnd w:id="76"/>
      <w:bookmarkEnd w:id="77"/>
      <w:bookmarkEnd w:id="78"/>
      <w:r>
        <w:t xml:space="preserve">Appendix B: </w:t>
      </w:r>
      <w:r w:rsidR="00D83F18">
        <w:t>Balancing Analysis Template</w:t>
      </w:r>
      <w:bookmarkEnd w:id="79"/>
    </w:p>
    <w:p w14:paraId="4E1D3F0A" w14:textId="77777777" w:rsidR="00784FBB" w:rsidRDefault="00784FBB" w:rsidP="00784FBB">
      <w:pPr>
        <w:pStyle w:val="normal0"/>
      </w:pPr>
    </w:p>
    <w:p w14:paraId="530842B1" w14:textId="77777777" w:rsidR="00784FBB" w:rsidRPr="00F71A65" w:rsidRDefault="00784FBB" w:rsidP="00F71A65">
      <w:pPr>
        <w:rPr>
          <w:sz w:val="40"/>
        </w:rPr>
      </w:pPr>
      <w:bookmarkStart w:id="81" w:name="h.a4qsdgsl3sf6" w:colFirst="0" w:colLast="0"/>
      <w:bookmarkEnd w:id="81"/>
      <w:r w:rsidRPr="00F71A65">
        <w:rPr>
          <w:sz w:val="40"/>
        </w:rPr>
        <w:t>[Unit Name]</w:t>
      </w:r>
      <w:r w:rsidRPr="00F71A65">
        <w:rPr>
          <w:sz w:val="40"/>
        </w:rPr>
        <w:br/>
        <w:t>Monitoring Practice Balancing Analysis:</w:t>
      </w:r>
      <w:bookmarkStart w:id="82" w:name="h.g01tyc3aw6gt" w:colFirst="0" w:colLast="0"/>
      <w:bookmarkEnd w:id="82"/>
    </w:p>
    <w:p w14:paraId="580CB1CD" w14:textId="355AE42A" w:rsidR="00784FBB" w:rsidRPr="00F71A65" w:rsidRDefault="00784FBB" w:rsidP="00F71A65">
      <w:pPr>
        <w:rPr>
          <w:sz w:val="40"/>
        </w:rPr>
      </w:pPr>
      <w:bookmarkStart w:id="83" w:name="h.mlhrmcz8v561" w:colFirst="0" w:colLast="0"/>
      <w:bookmarkEnd w:id="83"/>
      <w:r w:rsidRPr="00F71A65">
        <w:rPr>
          <w:sz w:val="40"/>
        </w:rPr>
        <w:t>[Monitoring Practice]</w:t>
      </w:r>
    </w:p>
    <w:p w14:paraId="7A0DF2CA" w14:textId="77777777" w:rsidR="00784FBB" w:rsidRDefault="00784FBB" w:rsidP="00784FBB">
      <w:pPr>
        <w:pStyle w:val="normal0"/>
        <w:jc w:val="center"/>
      </w:pPr>
      <w:r>
        <w:rPr>
          <w:b/>
          <w:sz w:val="32"/>
          <w:szCs w:val="32"/>
        </w:rPr>
        <w:t xml:space="preserve"> </w:t>
      </w:r>
    </w:p>
    <w:p w14:paraId="0428301D" w14:textId="77777777" w:rsidR="00784FBB" w:rsidRDefault="00784FBB" w:rsidP="00784FBB">
      <w:pPr>
        <w:pStyle w:val="normal0"/>
      </w:pPr>
      <w:r>
        <w:t xml:space="preserve">Responsible Executive:       </w:t>
      </w:r>
      <w:r>
        <w:tab/>
      </w:r>
    </w:p>
    <w:p w14:paraId="14CA7E69" w14:textId="77777777" w:rsidR="00784FBB" w:rsidRDefault="00784FBB" w:rsidP="00784FBB">
      <w:pPr>
        <w:pStyle w:val="normal0"/>
      </w:pPr>
      <w:r>
        <w:t>Responsible Office:</w:t>
      </w:r>
      <w:r>
        <w:tab/>
        <w:t xml:space="preserve">        </w:t>
      </w:r>
      <w:r>
        <w:tab/>
      </w:r>
    </w:p>
    <w:p w14:paraId="37604CA0" w14:textId="77777777" w:rsidR="00784FBB" w:rsidRDefault="00784FBB" w:rsidP="00784FBB">
      <w:pPr>
        <w:pStyle w:val="normal0"/>
      </w:pPr>
      <w:r>
        <w:t xml:space="preserve">Contact:                              </w:t>
      </w:r>
      <w:r>
        <w:tab/>
      </w:r>
    </w:p>
    <w:p w14:paraId="1313EFB6" w14:textId="68C49140" w:rsidR="00D13AF5" w:rsidRDefault="00D13AF5" w:rsidP="00784FBB">
      <w:pPr>
        <w:pStyle w:val="normal0"/>
      </w:pPr>
      <w:r>
        <w:t xml:space="preserve">Document Distribution: </w:t>
      </w:r>
      <w:r w:rsidRPr="00F71A65">
        <w:rPr>
          <w:i/>
        </w:rPr>
        <w:t>[Public, Campus, Other] (</w:t>
      </w:r>
      <w:r>
        <w:rPr>
          <w:i/>
        </w:rPr>
        <w:t>include</w:t>
      </w:r>
      <w:r w:rsidRPr="00F71A65">
        <w:rPr>
          <w:i/>
        </w:rPr>
        <w:t xml:space="preserve"> justification </w:t>
      </w:r>
      <w:r w:rsidR="00557452">
        <w:rPr>
          <w:i/>
        </w:rPr>
        <w:t xml:space="preserve">if </w:t>
      </w:r>
      <w:r w:rsidRPr="00F71A65">
        <w:rPr>
          <w:i/>
        </w:rPr>
        <w:t>public posting</w:t>
      </w:r>
      <w:r w:rsidR="00557452">
        <w:rPr>
          <w:i/>
        </w:rPr>
        <w:t xml:space="preserve"> is not recommended</w:t>
      </w:r>
      <w:r w:rsidRPr="00F71A65">
        <w:rPr>
          <w:i/>
        </w:rPr>
        <w:t>)</w:t>
      </w:r>
    </w:p>
    <w:p w14:paraId="04685EBC" w14:textId="77777777" w:rsidR="00784FBB" w:rsidRDefault="00784FBB" w:rsidP="00784FBB">
      <w:pPr>
        <w:pStyle w:val="normal0"/>
        <w:ind w:left="2340"/>
      </w:pPr>
    </w:p>
    <w:p w14:paraId="55C7015D" w14:textId="47E4931A" w:rsidR="00EA338E" w:rsidRDefault="00784FBB" w:rsidP="00784FBB">
      <w:pPr>
        <w:pStyle w:val="normal0"/>
      </w:pPr>
      <w:r>
        <w:lastRenderedPageBreak/>
        <w:t xml:space="preserve">This document inventories the Privacy Balancing Analysis required by the </w:t>
      </w:r>
      <w:r w:rsidRPr="00F71A65">
        <w:rPr>
          <w:color w:val="auto"/>
        </w:rPr>
        <w:t xml:space="preserve">UC Berkeley Privacy and Online Monitoring Policy </w:t>
      </w:r>
      <w:r>
        <w:t xml:space="preserve">for online activity monitoring conducted by </w:t>
      </w:r>
      <w:r w:rsidR="00557452" w:rsidRPr="00557452">
        <w:rPr>
          <w:i/>
        </w:rPr>
        <w:t>[u</w:t>
      </w:r>
      <w:r w:rsidRPr="00F71A65">
        <w:rPr>
          <w:i/>
        </w:rPr>
        <w:t>nit]</w:t>
      </w:r>
      <w:r>
        <w:t xml:space="preserve">. </w:t>
      </w:r>
    </w:p>
    <w:p w14:paraId="73515BEF" w14:textId="77777777" w:rsidR="006815D4" w:rsidRDefault="006815D4" w:rsidP="00F71A65">
      <w:bookmarkStart w:id="84" w:name="h.qln3pdrze7wa" w:colFirst="0" w:colLast="0"/>
      <w:bookmarkStart w:id="85" w:name="h.x4ccq3o3auuv" w:colFirst="0" w:colLast="0"/>
      <w:bookmarkEnd w:id="84"/>
      <w:bookmarkEnd w:id="85"/>
    </w:p>
    <w:p w14:paraId="69B554C9" w14:textId="4DA9E8BF" w:rsidR="00784FBB" w:rsidRPr="00F71A65" w:rsidRDefault="00784FBB" w:rsidP="00F71A65">
      <w:r w:rsidRPr="00F71A65">
        <w:rPr>
          <w:b/>
        </w:rPr>
        <w:t>Description</w:t>
      </w:r>
      <w:r w:rsidR="006815D4">
        <w:rPr>
          <w:b/>
        </w:rPr>
        <w:t xml:space="preserve">: </w:t>
      </w:r>
      <w:r w:rsidR="006815D4" w:rsidRPr="00F71A65">
        <w:rPr>
          <w:i/>
        </w:rPr>
        <w:t>Describe the proposed monitoring practice.</w:t>
      </w:r>
      <w:r w:rsidR="006815D4">
        <w:rPr>
          <w:b/>
        </w:rPr>
        <w:t xml:space="preserve"> </w:t>
      </w:r>
    </w:p>
    <w:p w14:paraId="6C82997B" w14:textId="77777777" w:rsidR="00784FBB" w:rsidRDefault="00784FBB" w:rsidP="00784FBB">
      <w:pPr>
        <w:pStyle w:val="normal0"/>
      </w:pPr>
    </w:p>
    <w:p w14:paraId="6B96404A" w14:textId="28D52262" w:rsidR="008A7E61" w:rsidRDefault="008A7E61" w:rsidP="00F71A65">
      <w:pPr>
        <w:rPr>
          <w:b/>
        </w:rPr>
      </w:pPr>
      <w:bookmarkStart w:id="86" w:name="h.4i41imof5dhc" w:colFirst="0" w:colLast="0"/>
      <w:bookmarkEnd w:id="86"/>
      <w:r>
        <w:rPr>
          <w:b/>
        </w:rPr>
        <w:t xml:space="preserve">Privacy </w:t>
      </w:r>
      <w:r w:rsidR="00784FBB" w:rsidRPr="00F71A65">
        <w:rPr>
          <w:b/>
        </w:rPr>
        <w:t xml:space="preserve">Balancing Analysis </w:t>
      </w:r>
    </w:p>
    <w:p w14:paraId="6946E430" w14:textId="6AAF16DB" w:rsidR="00784FBB" w:rsidRPr="00F71A65" w:rsidRDefault="00784FBB" w:rsidP="00F71A65">
      <w:r w:rsidRPr="00F71A65">
        <w:rPr>
          <w:b/>
        </w:rPr>
        <w:t>(</w:t>
      </w:r>
      <w:proofErr w:type="gramStart"/>
      <w:r w:rsidRPr="00F71A65">
        <w:rPr>
          <w:b/>
        </w:rPr>
        <w:t>per</w:t>
      </w:r>
      <w:proofErr w:type="gramEnd"/>
      <w:r w:rsidRPr="00F71A65">
        <w:rPr>
          <w:b/>
        </w:rPr>
        <w:t xml:space="preserve"> Privacy and Online Monitoring Policy </w:t>
      </w:r>
      <w:r w:rsidR="008A7E61">
        <w:rPr>
          <w:b/>
        </w:rPr>
        <w:t xml:space="preserve">requirements </w:t>
      </w:r>
      <w:r w:rsidRPr="00F71A65">
        <w:rPr>
          <w:b/>
        </w:rPr>
        <w:t>section I.</w:t>
      </w:r>
      <w:r w:rsidR="00596CDE">
        <w:rPr>
          <w:b/>
        </w:rPr>
        <w:t>C</w:t>
      </w:r>
      <w:r w:rsidRPr="00F71A65">
        <w:rPr>
          <w:b/>
        </w:rPr>
        <w:t>.)</w:t>
      </w:r>
    </w:p>
    <w:tbl>
      <w:tblPr>
        <w:tblStyle w:val="TableGrid"/>
        <w:tblW w:w="10098" w:type="dxa"/>
        <w:tblLayout w:type="fixed"/>
        <w:tblLook w:val="0600" w:firstRow="0" w:lastRow="0" w:firstColumn="0" w:lastColumn="0" w:noHBand="1" w:noVBand="1"/>
      </w:tblPr>
      <w:tblGrid>
        <w:gridCol w:w="675"/>
        <w:gridCol w:w="3730"/>
        <w:gridCol w:w="5693"/>
      </w:tblGrid>
      <w:tr w:rsidR="00784FBB" w14:paraId="67FAF2EF" w14:textId="77777777" w:rsidTr="00784FBB">
        <w:trPr>
          <w:trHeight w:val="357"/>
        </w:trPr>
        <w:tc>
          <w:tcPr>
            <w:tcW w:w="675" w:type="dxa"/>
            <w:shd w:val="clear" w:color="auto" w:fill="auto"/>
          </w:tcPr>
          <w:p w14:paraId="5FAD03D7" w14:textId="77777777" w:rsidR="00784FBB" w:rsidRDefault="00784FBB" w:rsidP="00784FBB">
            <w:pPr>
              <w:pStyle w:val="normal0"/>
            </w:pPr>
            <w:r>
              <w:t>#</w:t>
            </w:r>
          </w:p>
        </w:tc>
        <w:tc>
          <w:tcPr>
            <w:tcW w:w="3730" w:type="dxa"/>
            <w:shd w:val="clear" w:color="auto" w:fill="auto"/>
          </w:tcPr>
          <w:p w14:paraId="0B79395B" w14:textId="5CE8D45B" w:rsidR="00784FBB" w:rsidRDefault="00E94F38" w:rsidP="00784FBB">
            <w:pPr>
              <w:pStyle w:val="normal0"/>
            </w:pPr>
            <w:r>
              <w:t>Factor</w:t>
            </w:r>
          </w:p>
        </w:tc>
        <w:tc>
          <w:tcPr>
            <w:tcW w:w="5693" w:type="dxa"/>
            <w:shd w:val="clear" w:color="auto" w:fill="auto"/>
          </w:tcPr>
          <w:p w14:paraId="449A2143" w14:textId="77777777" w:rsidR="00784FBB" w:rsidRDefault="00784FBB" w:rsidP="00784FBB">
            <w:pPr>
              <w:pStyle w:val="normal0"/>
            </w:pPr>
            <w:r>
              <w:t>Assessment</w:t>
            </w:r>
          </w:p>
        </w:tc>
      </w:tr>
      <w:tr w:rsidR="00784FBB" w14:paraId="41644A58" w14:textId="77777777" w:rsidTr="00784FBB">
        <w:tc>
          <w:tcPr>
            <w:tcW w:w="675" w:type="dxa"/>
            <w:shd w:val="clear" w:color="auto" w:fill="auto"/>
          </w:tcPr>
          <w:p w14:paraId="2146B4BC" w14:textId="77777777" w:rsidR="00784FBB" w:rsidRDefault="00784FBB" w:rsidP="00784FBB">
            <w:pPr>
              <w:pStyle w:val="normal0"/>
            </w:pPr>
            <w:r>
              <w:t>1</w:t>
            </w:r>
          </w:p>
        </w:tc>
        <w:tc>
          <w:tcPr>
            <w:tcW w:w="3730" w:type="dxa"/>
            <w:shd w:val="clear" w:color="auto" w:fill="auto"/>
          </w:tcPr>
          <w:p w14:paraId="30905814" w14:textId="77777777" w:rsidR="00784FBB" w:rsidRDefault="00784FBB" w:rsidP="00784FBB">
            <w:pPr>
              <w:pStyle w:val="normal0"/>
            </w:pPr>
            <w:r>
              <w:rPr>
                <w:b/>
              </w:rPr>
              <w:t>Utility:</w:t>
            </w:r>
          </w:p>
          <w:p w14:paraId="2C8FD18E" w14:textId="77777777" w:rsidR="00784FBB" w:rsidRDefault="00784FBB" w:rsidP="00784FBB">
            <w:pPr>
              <w:pStyle w:val="normal0"/>
            </w:pPr>
          </w:p>
          <w:p w14:paraId="246709B5" w14:textId="52872CD0" w:rsidR="00784FBB" w:rsidRDefault="00784FBB" w:rsidP="00557452">
            <w:pPr>
              <w:pStyle w:val="normal0"/>
            </w:pPr>
            <w:r>
              <w:rPr>
                <w:i/>
              </w:rPr>
              <w:t>Purpose for monitoring and estimate of current and future utility</w:t>
            </w:r>
          </w:p>
        </w:tc>
        <w:tc>
          <w:tcPr>
            <w:tcW w:w="5693" w:type="dxa"/>
            <w:shd w:val="clear" w:color="auto" w:fill="auto"/>
          </w:tcPr>
          <w:p w14:paraId="1FEC256B" w14:textId="77777777" w:rsidR="00784FBB" w:rsidRDefault="00784FBB" w:rsidP="00784FBB">
            <w:pPr>
              <w:pStyle w:val="normal0"/>
            </w:pPr>
          </w:p>
        </w:tc>
      </w:tr>
      <w:tr w:rsidR="00784FBB" w14:paraId="7F0F41B5" w14:textId="77777777" w:rsidTr="00784FBB">
        <w:tc>
          <w:tcPr>
            <w:tcW w:w="675" w:type="dxa"/>
            <w:shd w:val="clear" w:color="auto" w:fill="auto"/>
          </w:tcPr>
          <w:p w14:paraId="3F84EEF5" w14:textId="77777777" w:rsidR="00784FBB" w:rsidRDefault="00784FBB" w:rsidP="00784FBB">
            <w:pPr>
              <w:pStyle w:val="normal0"/>
            </w:pPr>
            <w:r>
              <w:t>2</w:t>
            </w:r>
          </w:p>
        </w:tc>
        <w:tc>
          <w:tcPr>
            <w:tcW w:w="3730" w:type="dxa"/>
            <w:shd w:val="clear" w:color="auto" w:fill="auto"/>
          </w:tcPr>
          <w:p w14:paraId="69CFF070" w14:textId="77777777" w:rsidR="00784FBB" w:rsidRDefault="00784FBB" w:rsidP="00784FBB">
            <w:pPr>
              <w:pStyle w:val="normal0"/>
            </w:pPr>
            <w:r>
              <w:rPr>
                <w:b/>
              </w:rPr>
              <w:t>Alternatives</w:t>
            </w:r>
          </w:p>
          <w:p w14:paraId="6947E4CF" w14:textId="77777777" w:rsidR="00784FBB" w:rsidRDefault="00784FBB" w:rsidP="00784FBB">
            <w:pPr>
              <w:pStyle w:val="normal0"/>
            </w:pPr>
          </w:p>
          <w:p w14:paraId="0621B72A" w14:textId="77777777" w:rsidR="00784FBB" w:rsidRDefault="00784FBB" w:rsidP="00784FBB">
            <w:pPr>
              <w:pStyle w:val="normal0"/>
            </w:pPr>
            <w:r>
              <w:rPr>
                <w:i/>
              </w:rPr>
              <w:t>Alternative means to accomplish the documented purpose, and the relative efficacy and privacy impact of the alternative approaches</w:t>
            </w:r>
          </w:p>
        </w:tc>
        <w:tc>
          <w:tcPr>
            <w:tcW w:w="5693" w:type="dxa"/>
            <w:shd w:val="clear" w:color="auto" w:fill="auto"/>
          </w:tcPr>
          <w:p w14:paraId="567C7131" w14:textId="77777777" w:rsidR="00784FBB" w:rsidRDefault="00784FBB" w:rsidP="00784FBB">
            <w:pPr>
              <w:pStyle w:val="normal0"/>
            </w:pPr>
          </w:p>
        </w:tc>
      </w:tr>
      <w:tr w:rsidR="00784FBB" w14:paraId="028356C3" w14:textId="77777777" w:rsidTr="00784FBB">
        <w:trPr>
          <w:trHeight w:val="1401"/>
        </w:trPr>
        <w:tc>
          <w:tcPr>
            <w:tcW w:w="675" w:type="dxa"/>
            <w:shd w:val="clear" w:color="auto" w:fill="auto"/>
          </w:tcPr>
          <w:p w14:paraId="0758C5F4" w14:textId="77777777" w:rsidR="00784FBB" w:rsidRDefault="00784FBB" w:rsidP="00784FBB">
            <w:pPr>
              <w:pStyle w:val="normal0"/>
            </w:pPr>
            <w:r>
              <w:t>3</w:t>
            </w:r>
          </w:p>
        </w:tc>
        <w:tc>
          <w:tcPr>
            <w:tcW w:w="3730" w:type="dxa"/>
            <w:shd w:val="clear" w:color="auto" w:fill="auto"/>
          </w:tcPr>
          <w:p w14:paraId="7572880E" w14:textId="77777777" w:rsidR="00784FBB" w:rsidRDefault="00784FBB" w:rsidP="00784FBB">
            <w:pPr>
              <w:pStyle w:val="normal0"/>
              <w:rPr>
                <w:b/>
              </w:rPr>
            </w:pPr>
            <w:r>
              <w:rPr>
                <w:b/>
              </w:rPr>
              <w:t>Scope</w:t>
            </w:r>
          </w:p>
          <w:p w14:paraId="32BA0963" w14:textId="77777777" w:rsidR="00557452" w:rsidRDefault="00557452" w:rsidP="00784FBB">
            <w:pPr>
              <w:pStyle w:val="normal0"/>
              <w:rPr>
                <w:b/>
              </w:rPr>
            </w:pPr>
          </w:p>
          <w:p w14:paraId="73AEC53B" w14:textId="22601555" w:rsidR="00557452" w:rsidRPr="00F71A65" w:rsidRDefault="00557452" w:rsidP="00557452">
            <w:pPr>
              <w:pStyle w:val="normal0"/>
              <w:rPr>
                <w:i/>
              </w:rPr>
            </w:pPr>
            <w:r>
              <w:rPr>
                <w:i/>
              </w:rPr>
              <w:t>S</w:t>
            </w:r>
            <w:r w:rsidRPr="00557452">
              <w:rPr>
                <w:i/>
              </w:rPr>
              <w:t>cope of monitoring</w:t>
            </w:r>
            <w:r>
              <w:rPr>
                <w:i/>
              </w:rPr>
              <w:t xml:space="preserve">, </w:t>
            </w:r>
            <w:r w:rsidRPr="00557452">
              <w:rPr>
                <w:i/>
              </w:rPr>
              <w:t>h</w:t>
            </w:r>
            <w:r w:rsidRPr="00F71A65">
              <w:rPr>
                <w:i/>
              </w:rPr>
              <w:t>ow the utility and privacy impact change if scoped differently</w:t>
            </w:r>
          </w:p>
        </w:tc>
        <w:tc>
          <w:tcPr>
            <w:tcW w:w="5693" w:type="dxa"/>
            <w:shd w:val="clear" w:color="auto" w:fill="auto"/>
          </w:tcPr>
          <w:p w14:paraId="12D14CFE" w14:textId="77777777" w:rsidR="00784FBB" w:rsidRDefault="00784FBB" w:rsidP="00784FBB">
            <w:pPr>
              <w:pStyle w:val="normal0"/>
            </w:pPr>
            <w:r>
              <w:t xml:space="preserve"> </w:t>
            </w:r>
          </w:p>
        </w:tc>
      </w:tr>
      <w:tr w:rsidR="00784FBB" w14:paraId="4928E274" w14:textId="77777777" w:rsidTr="004C23B2">
        <w:trPr>
          <w:trHeight w:val="440"/>
        </w:trPr>
        <w:tc>
          <w:tcPr>
            <w:tcW w:w="675" w:type="dxa"/>
            <w:shd w:val="clear" w:color="auto" w:fill="DAEEF3" w:themeFill="accent5" w:themeFillTint="33"/>
          </w:tcPr>
          <w:p w14:paraId="03A429F2" w14:textId="77777777" w:rsidR="00784FBB" w:rsidRDefault="00784FBB" w:rsidP="00784FBB">
            <w:pPr>
              <w:pStyle w:val="normal0"/>
            </w:pPr>
            <w:r>
              <w:t xml:space="preserve"> 4</w:t>
            </w:r>
          </w:p>
        </w:tc>
        <w:tc>
          <w:tcPr>
            <w:tcW w:w="9423" w:type="dxa"/>
            <w:gridSpan w:val="2"/>
            <w:shd w:val="clear" w:color="auto" w:fill="DAEEF3" w:themeFill="accent5" w:themeFillTint="33"/>
          </w:tcPr>
          <w:p w14:paraId="4BE9D7BF" w14:textId="77777777" w:rsidR="00784FBB" w:rsidRDefault="00784FBB" w:rsidP="00784FBB">
            <w:pPr>
              <w:pStyle w:val="normal0"/>
            </w:pPr>
            <w:r>
              <w:rPr>
                <w:b/>
              </w:rPr>
              <w:t>Use Cases</w:t>
            </w:r>
          </w:p>
          <w:p w14:paraId="65069903" w14:textId="1033B590" w:rsidR="00784FBB" w:rsidRDefault="00784FBB" w:rsidP="00172434">
            <w:pPr>
              <w:pStyle w:val="normal0"/>
            </w:pPr>
            <w:r>
              <w:rPr>
                <w:b/>
                <w:i/>
              </w:rPr>
              <w:t>All uses of data collected by this Monitoring Practices shall be restricted to the use cases documented below</w:t>
            </w:r>
            <w:r>
              <w:rPr>
                <w:i/>
              </w:rPr>
              <w:t xml:space="preserve">. </w:t>
            </w:r>
            <w:r>
              <w:rPr>
                <w:b/>
                <w:i/>
              </w:rPr>
              <w:t xml:space="preserve">Document the privacy impact </w:t>
            </w:r>
            <w:r>
              <w:rPr>
                <w:i/>
              </w:rPr>
              <w:t xml:space="preserve">generally and in each of the use cases, </w:t>
            </w:r>
            <w:r>
              <w:rPr>
                <w:b/>
                <w:i/>
              </w:rPr>
              <w:t>and</w:t>
            </w:r>
            <w:r>
              <w:rPr>
                <w:i/>
              </w:rPr>
              <w:t xml:space="preserve"> </w:t>
            </w:r>
            <w:r>
              <w:rPr>
                <w:b/>
                <w:i/>
              </w:rPr>
              <w:t xml:space="preserve">mitigations </w:t>
            </w:r>
            <w:r>
              <w:rPr>
                <w:i/>
              </w:rPr>
              <w:t>that will be taken to reduce privacy impact:</w:t>
            </w:r>
          </w:p>
        </w:tc>
      </w:tr>
      <w:tr w:rsidR="00784FBB" w14:paraId="00C16797" w14:textId="77777777" w:rsidTr="00784FBB">
        <w:tc>
          <w:tcPr>
            <w:tcW w:w="675" w:type="dxa"/>
            <w:shd w:val="clear" w:color="auto" w:fill="auto"/>
          </w:tcPr>
          <w:p w14:paraId="4084583A" w14:textId="7A25E5BB" w:rsidR="00784FBB" w:rsidRDefault="00784FBB" w:rsidP="00784FBB">
            <w:pPr>
              <w:pStyle w:val="normal0"/>
            </w:pPr>
          </w:p>
        </w:tc>
        <w:tc>
          <w:tcPr>
            <w:tcW w:w="3730" w:type="dxa"/>
            <w:shd w:val="clear" w:color="auto" w:fill="auto"/>
          </w:tcPr>
          <w:p w14:paraId="30398BFA" w14:textId="77777777" w:rsidR="00784FBB" w:rsidRDefault="00784FBB" w:rsidP="00784FBB">
            <w:pPr>
              <w:pStyle w:val="normal0"/>
            </w:pPr>
            <w:r>
              <w:rPr>
                <w:b/>
              </w:rPr>
              <w:t>General Privacy Impact</w:t>
            </w:r>
          </w:p>
        </w:tc>
        <w:tc>
          <w:tcPr>
            <w:tcW w:w="5693" w:type="dxa"/>
            <w:shd w:val="clear" w:color="auto" w:fill="auto"/>
          </w:tcPr>
          <w:p w14:paraId="2ABBC6AB" w14:textId="77777777" w:rsidR="00784FBB" w:rsidRDefault="00784FBB" w:rsidP="00784FBB">
            <w:pPr>
              <w:pStyle w:val="normal0"/>
            </w:pPr>
          </w:p>
        </w:tc>
      </w:tr>
      <w:tr w:rsidR="00784FBB" w14:paraId="6D335B3C" w14:textId="77777777" w:rsidTr="00784FBB">
        <w:tc>
          <w:tcPr>
            <w:tcW w:w="675" w:type="dxa"/>
            <w:shd w:val="clear" w:color="auto" w:fill="auto"/>
          </w:tcPr>
          <w:p w14:paraId="16AFBAB0" w14:textId="55500B73" w:rsidR="00784FBB" w:rsidRDefault="00AB0965" w:rsidP="00784FBB">
            <w:pPr>
              <w:pStyle w:val="normal0"/>
            </w:pPr>
            <w:r>
              <w:t>4</w:t>
            </w:r>
            <w:r w:rsidR="00946447">
              <w:t>a</w:t>
            </w:r>
          </w:p>
        </w:tc>
        <w:tc>
          <w:tcPr>
            <w:tcW w:w="3730" w:type="dxa"/>
            <w:shd w:val="clear" w:color="auto" w:fill="auto"/>
          </w:tcPr>
          <w:p w14:paraId="6E99B991" w14:textId="77777777" w:rsidR="00784FBB" w:rsidRDefault="00784FBB" w:rsidP="00784FBB">
            <w:pPr>
              <w:pStyle w:val="normal0"/>
            </w:pPr>
            <w:r>
              <w:rPr>
                <w:b/>
              </w:rPr>
              <w:t xml:space="preserve">Operational Use: </w:t>
            </w:r>
          </w:p>
          <w:p w14:paraId="1A70EDE5" w14:textId="77777777" w:rsidR="00784FBB" w:rsidRDefault="00784FBB" w:rsidP="00784FBB">
            <w:pPr>
              <w:pStyle w:val="normal0"/>
            </w:pPr>
            <w:r>
              <w:rPr>
                <w:i/>
              </w:rPr>
              <w:t>Planned routine operational use(s)</w:t>
            </w:r>
          </w:p>
        </w:tc>
        <w:tc>
          <w:tcPr>
            <w:tcW w:w="5693" w:type="dxa"/>
            <w:shd w:val="clear" w:color="auto" w:fill="auto"/>
          </w:tcPr>
          <w:p w14:paraId="79632FF2" w14:textId="77777777" w:rsidR="00784FBB" w:rsidRDefault="00784FBB" w:rsidP="00784FBB">
            <w:pPr>
              <w:pStyle w:val="normal0"/>
            </w:pPr>
            <w:r>
              <w:t xml:space="preserve"> </w:t>
            </w:r>
          </w:p>
        </w:tc>
      </w:tr>
      <w:tr w:rsidR="00784FBB" w14:paraId="40178FDA" w14:textId="77777777" w:rsidTr="00784FBB">
        <w:tc>
          <w:tcPr>
            <w:tcW w:w="675" w:type="dxa"/>
            <w:shd w:val="clear" w:color="auto" w:fill="auto"/>
          </w:tcPr>
          <w:p w14:paraId="6640049B" w14:textId="7AD425D9" w:rsidR="00784FBB" w:rsidRDefault="00AB0965" w:rsidP="00784FBB">
            <w:pPr>
              <w:pStyle w:val="normal0"/>
            </w:pPr>
            <w:r>
              <w:t>4</w:t>
            </w:r>
            <w:r w:rsidR="00946447">
              <w:t>b</w:t>
            </w:r>
          </w:p>
        </w:tc>
        <w:tc>
          <w:tcPr>
            <w:tcW w:w="3730" w:type="dxa"/>
            <w:shd w:val="clear" w:color="auto" w:fill="auto"/>
          </w:tcPr>
          <w:p w14:paraId="40FD993B" w14:textId="77777777" w:rsidR="00784FBB" w:rsidRDefault="00784FBB" w:rsidP="00784FBB">
            <w:pPr>
              <w:pStyle w:val="normal0"/>
            </w:pPr>
            <w:r>
              <w:rPr>
                <w:b/>
              </w:rPr>
              <w:t>Non-Routine Use:</w:t>
            </w:r>
          </w:p>
          <w:p w14:paraId="5BEC4DFD" w14:textId="77777777" w:rsidR="00784FBB" w:rsidRDefault="00784FBB" w:rsidP="00784FBB">
            <w:pPr>
              <w:pStyle w:val="normal0"/>
            </w:pPr>
            <w:r>
              <w:rPr>
                <w:i/>
              </w:rPr>
              <w:t>Non-Routine but anticipated uses.</w:t>
            </w:r>
          </w:p>
          <w:p w14:paraId="1378CFC9" w14:textId="737AE233" w:rsidR="00784FBB" w:rsidRDefault="00784FBB" w:rsidP="006B756A">
            <w:pPr>
              <w:pStyle w:val="normal0"/>
            </w:pPr>
            <w:r>
              <w:rPr>
                <w:i/>
              </w:rPr>
              <w:t xml:space="preserve">Escalation procedures to document </w:t>
            </w:r>
            <w:r w:rsidR="006B756A">
              <w:rPr>
                <w:i/>
              </w:rPr>
              <w:t xml:space="preserve">and obtain approval for </w:t>
            </w:r>
            <w:r>
              <w:rPr>
                <w:i/>
              </w:rPr>
              <w:t xml:space="preserve">Non-Routine use </w:t>
            </w:r>
            <w:r w:rsidR="006B756A">
              <w:rPr>
                <w:i/>
              </w:rPr>
              <w:t>in order to</w:t>
            </w:r>
            <w:r>
              <w:rPr>
                <w:i/>
              </w:rPr>
              <w:t xml:space="preserve"> prevent </w:t>
            </w:r>
            <w:proofErr w:type="spellStart"/>
            <w:r>
              <w:rPr>
                <w:i/>
              </w:rPr>
              <w:t>routinization</w:t>
            </w:r>
            <w:proofErr w:type="spellEnd"/>
            <w:r w:rsidR="004B64FE">
              <w:rPr>
                <w:i/>
              </w:rPr>
              <w:t>. If data includes “electronic communications” escalation process must meet ECP requirements.</w:t>
            </w:r>
          </w:p>
        </w:tc>
        <w:tc>
          <w:tcPr>
            <w:tcW w:w="5693" w:type="dxa"/>
            <w:shd w:val="clear" w:color="auto" w:fill="auto"/>
          </w:tcPr>
          <w:p w14:paraId="1CC80293" w14:textId="77777777" w:rsidR="00784FBB" w:rsidRDefault="00784FBB" w:rsidP="00784FBB">
            <w:pPr>
              <w:pStyle w:val="normal0"/>
            </w:pPr>
          </w:p>
        </w:tc>
      </w:tr>
      <w:tr w:rsidR="00784FBB" w14:paraId="5A501E3A" w14:textId="77777777" w:rsidTr="00784FBB">
        <w:tc>
          <w:tcPr>
            <w:tcW w:w="675" w:type="dxa"/>
            <w:shd w:val="clear" w:color="auto" w:fill="auto"/>
          </w:tcPr>
          <w:p w14:paraId="62F67EDA" w14:textId="5A0CCB7D" w:rsidR="00784FBB" w:rsidRDefault="00AB0965" w:rsidP="00784FBB">
            <w:pPr>
              <w:pStyle w:val="normal0"/>
            </w:pPr>
            <w:r>
              <w:t>4</w:t>
            </w:r>
            <w:r w:rsidR="00222467">
              <w:t>c</w:t>
            </w:r>
          </w:p>
        </w:tc>
        <w:tc>
          <w:tcPr>
            <w:tcW w:w="3730" w:type="dxa"/>
            <w:shd w:val="clear" w:color="auto" w:fill="auto"/>
          </w:tcPr>
          <w:p w14:paraId="256D572D" w14:textId="6728F4B7" w:rsidR="00784FBB" w:rsidRDefault="00172434" w:rsidP="00172434">
            <w:pPr>
              <w:pStyle w:val="normal0"/>
            </w:pPr>
            <w:r>
              <w:rPr>
                <w:b/>
              </w:rPr>
              <w:t xml:space="preserve">Required </w:t>
            </w:r>
            <w:r w:rsidR="00784FBB">
              <w:rPr>
                <w:b/>
              </w:rPr>
              <w:t xml:space="preserve">Legal </w:t>
            </w:r>
            <w:r>
              <w:rPr>
                <w:b/>
              </w:rPr>
              <w:t>Disclosure</w:t>
            </w:r>
            <w:r w:rsidR="00784FBB">
              <w:rPr>
                <w:b/>
              </w:rPr>
              <w:t xml:space="preserve">: </w:t>
            </w:r>
            <w:r>
              <w:rPr>
                <w:i/>
              </w:rPr>
              <w:t>A</w:t>
            </w:r>
            <w:r w:rsidR="00784FBB">
              <w:rPr>
                <w:i/>
              </w:rPr>
              <w:t>s required by and consistent with law</w:t>
            </w:r>
            <w:r>
              <w:rPr>
                <w:i/>
              </w:rPr>
              <w:t xml:space="preserve"> e.g., in response to a valid subpoena court order, public records request or national security letter</w:t>
            </w:r>
          </w:p>
        </w:tc>
        <w:tc>
          <w:tcPr>
            <w:tcW w:w="5693" w:type="dxa"/>
            <w:shd w:val="clear" w:color="auto" w:fill="auto"/>
          </w:tcPr>
          <w:p w14:paraId="6EB614FD" w14:textId="77777777" w:rsidR="00784FBB" w:rsidRDefault="00784FBB" w:rsidP="00784FBB">
            <w:pPr>
              <w:pStyle w:val="normal0"/>
            </w:pPr>
          </w:p>
        </w:tc>
      </w:tr>
      <w:tr w:rsidR="00784FBB" w14:paraId="2E91955A" w14:textId="77777777" w:rsidTr="00784FBB">
        <w:tc>
          <w:tcPr>
            <w:tcW w:w="675" w:type="dxa"/>
            <w:shd w:val="clear" w:color="auto" w:fill="auto"/>
          </w:tcPr>
          <w:p w14:paraId="4EA47BB3" w14:textId="37E764E2" w:rsidR="00784FBB" w:rsidRDefault="00AB0965" w:rsidP="00784FBB">
            <w:pPr>
              <w:pStyle w:val="normal0"/>
            </w:pPr>
            <w:r>
              <w:t>4d</w:t>
            </w:r>
          </w:p>
        </w:tc>
        <w:tc>
          <w:tcPr>
            <w:tcW w:w="3730" w:type="dxa"/>
            <w:shd w:val="clear" w:color="auto" w:fill="auto"/>
          </w:tcPr>
          <w:p w14:paraId="172A59B2" w14:textId="77777777" w:rsidR="00784FBB" w:rsidRDefault="00784FBB" w:rsidP="00784FBB">
            <w:pPr>
              <w:pStyle w:val="normal0"/>
            </w:pPr>
            <w:r>
              <w:rPr>
                <w:b/>
              </w:rPr>
              <w:t>Significant and Exigent Circumstances</w:t>
            </w:r>
            <w:r>
              <w:t xml:space="preserve">: </w:t>
            </w:r>
          </w:p>
        </w:tc>
        <w:tc>
          <w:tcPr>
            <w:tcW w:w="5693" w:type="dxa"/>
            <w:shd w:val="clear" w:color="auto" w:fill="auto"/>
          </w:tcPr>
          <w:p w14:paraId="4EBFC912" w14:textId="77777777" w:rsidR="00784FBB" w:rsidRDefault="00784FBB" w:rsidP="00784FBB">
            <w:pPr>
              <w:pStyle w:val="normal0"/>
            </w:pPr>
            <w:r>
              <w:t xml:space="preserve"> </w:t>
            </w:r>
          </w:p>
        </w:tc>
      </w:tr>
      <w:tr w:rsidR="00784FBB" w14:paraId="4EFCA1D9" w14:textId="77777777" w:rsidTr="00784FBB">
        <w:tc>
          <w:tcPr>
            <w:tcW w:w="675" w:type="dxa"/>
            <w:shd w:val="clear" w:color="auto" w:fill="auto"/>
          </w:tcPr>
          <w:p w14:paraId="221B610F" w14:textId="43161036" w:rsidR="00784FBB" w:rsidRDefault="00AB0965" w:rsidP="00784FBB">
            <w:pPr>
              <w:pStyle w:val="normal0"/>
            </w:pPr>
            <w:r>
              <w:t>4e</w:t>
            </w:r>
          </w:p>
        </w:tc>
        <w:tc>
          <w:tcPr>
            <w:tcW w:w="3730" w:type="dxa"/>
            <w:shd w:val="clear" w:color="auto" w:fill="auto"/>
          </w:tcPr>
          <w:p w14:paraId="0F673B3E" w14:textId="77777777" w:rsidR="00784FBB" w:rsidRDefault="00784FBB" w:rsidP="00784FBB">
            <w:pPr>
              <w:pStyle w:val="normal0"/>
            </w:pPr>
            <w:r>
              <w:rPr>
                <w:b/>
              </w:rPr>
              <w:t>Internal Abuse</w:t>
            </w:r>
          </w:p>
          <w:p w14:paraId="0658753F" w14:textId="77777777" w:rsidR="00784FBB" w:rsidRDefault="00784FBB" w:rsidP="00784FBB">
            <w:pPr>
              <w:pStyle w:val="normal0"/>
            </w:pPr>
            <w:proofErr w:type="gramStart"/>
            <w:r>
              <w:rPr>
                <w:i/>
              </w:rPr>
              <w:lastRenderedPageBreak/>
              <w:t>of</w:t>
            </w:r>
            <w:proofErr w:type="gramEnd"/>
            <w:r>
              <w:rPr>
                <w:i/>
              </w:rPr>
              <w:t xml:space="preserve"> the data within the monitoring unit</w:t>
            </w:r>
          </w:p>
        </w:tc>
        <w:tc>
          <w:tcPr>
            <w:tcW w:w="5693" w:type="dxa"/>
            <w:shd w:val="clear" w:color="auto" w:fill="auto"/>
          </w:tcPr>
          <w:p w14:paraId="0A969C73" w14:textId="77777777" w:rsidR="00784FBB" w:rsidRDefault="00784FBB" w:rsidP="00784FBB">
            <w:pPr>
              <w:pStyle w:val="normal0"/>
            </w:pPr>
          </w:p>
        </w:tc>
      </w:tr>
      <w:tr w:rsidR="00784FBB" w14:paraId="69906BF2" w14:textId="77777777" w:rsidTr="00784FBB">
        <w:tc>
          <w:tcPr>
            <w:tcW w:w="675" w:type="dxa"/>
            <w:shd w:val="clear" w:color="auto" w:fill="auto"/>
          </w:tcPr>
          <w:p w14:paraId="4CD9D2E7" w14:textId="4078C6DA" w:rsidR="00784FBB" w:rsidRDefault="00AB0965" w:rsidP="00784FBB">
            <w:pPr>
              <w:pStyle w:val="normal0"/>
            </w:pPr>
            <w:r>
              <w:lastRenderedPageBreak/>
              <w:t>4f</w:t>
            </w:r>
          </w:p>
        </w:tc>
        <w:tc>
          <w:tcPr>
            <w:tcW w:w="3730" w:type="dxa"/>
            <w:shd w:val="clear" w:color="auto" w:fill="auto"/>
          </w:tcPr>
          <w:p w14:paraId="5B7CD649" w14:textId="007EBD61" w:rsidR="00784FBB" w:rsidRDefault="00172434" w:rsidP="00784FBB">
            <w:pPr>
              <w:pStyle w:val="normal0"/>
            </w:pPr>
            <w:r>
              <w:rPr>
                <w:b/>
              </w:rPr>
              <w:t>Unauthorized</w:t>
            </w:r>
            <w:r w:rsidR="00784FBB">
              <w:rPr>
                <w:b/>
              </w:rPr>
              <w:t xml:space="preserve"> Disclosure </w:t>
            </w:r>
          </w:p>
          <w:p w14:paraId="5F359DB6" w14:textId="77777777" w:rsidR="00784FBB" w:rsidRDefault="00784FBB" w:rsidP="00784FBB">
            <w:pPr>
              <w:pStyle w:val="normal0"/>
            </w:pPr>
            <w:proofErr w:type="gramStart"/>
            <w:r>
              <w:rPr>
                <w:i/>
              </w:rPr>
              <w:t>e</w:t>
            </w:r>
            <w:proofErr w:type="gramEnd"/>
            <w:r>
              <w:rPr>
                <w:i/>
              </w:rPr>
              <w:t>.g., unauthorized access to the systems holding the monitoring data</w:t>
            </w:r>
          </w:p>
        </w:tc>
        <w:tc>
          <w:tcPr>
            <w:tcW w:w="5693" w:type="dxa"/>
            <w:shd w:val="clear" w:color="auto" w:fill="auto"/>
          </w:tcPr>
          <w:p w14:paraId="26F03E3D" w14:textId="77777777" w:rsidR="00784FBB" w:rsidRDefault="00784FBB" w:rsidP="00784FBB">
            <w:pPr>
              <w:pStyle w:val="normal0"/>
            </w:pPr>
          </w:p>
        </w:tc>
      </w:tr>
      <w:tr w:rsidR="00784FBB" w14:paraId="657BDF3A" w14:textId="77777777" w:rsidTr="00784FBB">
        <w:tc>
          <w:tcPr>
            <w:tcW w:w="675" w:type="dxa"/>
            <w:shd w:val="clear" w:color="auto" w:fill="auto"/>
          </w:tcPr>
          <w:p w14:paraId="2530BA68" w14:textId="61F638DC" w:rsidR="00784FBB" w:rsidRDefault="00946447" w:rsidP="00784FBB">
            <w:pPr>
              <w:pStyle w:val="normal0"/>
            </w:pPr>
            <w:r>
              <w:t>5</w:t>
            </w:r>
          </w:p>
        </w:tc>
        <w:tc>
          <w:tcPr>
            <w:tcW w:w="3730" w:type="dxa"/>
            <w:shd w:val="clear" w:color="auto" w:fill="auto"/>
          </w:tcPr>
          <w:p w14:paraId="596C00DF" w14:textId="77777777" w:rsidR="00784FBB" w:rsidRDefault="00784FBB" w:rsidP="00784FBB">
            <w:pPr>
              <w:pStyle w:val="normal0"/>
            </w:pPr>
            <w:r>
              <w:rPr>
                <w:b/>
              </w:rPr>
              <w:t>Least Perusal</w:t>
            </w:r>
          </w:p>
          <w:p w14:paraId="1F6A43BB" w14:textId="0A508EFC" w:rsidR="00784FBB" w:rsidRDefault="00222467" w:rsidP="00784FBB">
            <w:pPr>
              <w:pStyle w:val="normal0"/>
            </w:pPr>
            <w:r>
              <w:rPr>
                <w:i/>
              </w:rPr>
              <w:t xml:space="preserve">a. </w:t>
            </w:r>
            <w:r w:rsidR="00784FBB">
              <w:rPr>
                <w:i/>
              </w:rPr>
              <w:t>Data Element Specification</w:t>
            </w:r>
          </w:p>
          <w:p w14:paraId="7CCF401C" w14:textId="3E909ADE" w:rsidR="00222467" w:rsidRDefault="00784FBB" w:rsidP="00784FBB">
            <w:pPr>
              <w:pStyle w:val="normal0"/>
              <w:rPr>
                <w:i/>
              </w:rPr>
            </w:pPr>
            <w:r>
              <w:rPr>
                <w:i/>
              </w:rPr>
              <w:t>(</w:t>
            </w:r>
            <w:proofErr w:type="gramStart"/>
            <w:r>
              <w:rPr>
                <w:i/>
              </w:rPr>
              <w:t>each</w:t>
            </w:r>
            <w:proofErr w:type="gramEnd"/>
            <w:r>
              <w:rPr>
                <w:i/>
              </w:rPr>
              <w:t xml:space="preserve"> element examined and retained,</w:t>
            </w:r>
            <w:r w:rsidR="00222467">
              <w:rPr>
                <w:i/>
              </w:rPr>
              <w:t xml:space="preserve"> including</w:t>
            </w:r>
          </w:p>
          <w:p w14:paraId="4AB512CF" w14:textId="171FC4A9" w:rsidR="00784FBB" w:rsidRDefault="00222467" w:rsidP="00784FBB">
            <w:pPr>
              <w:pStyle w:val="normal0"/>
            </w:pPr>
            <w:r>
              <w:rPr>
                <w:i/>
              </w:rPr>
              <w:t>b.</w:t>
            </w:r>
            <w:r w:rsidR="00784FBB">
              <w:rPr>
                <w:i/>
              </w:rPr>
              <w:t xml:space="preserve"> </w:t>
            </w:r>
            <w:r>
              <w:rPr>
                <w:i/>
              </w:rPr>
              <w:t>M</w:t>
            </w:r>
            <w:r w:rsidR="00784FBB">
              <w:rPr>
                <w:i/>
              </w:rPr>
              <w:t>etadata</w:t>
            </w:r>
          </w:p>
          <w:p w14:paraId="1F9F59AE" w14:textId="77777777" w:rsidR="00784FBB" w:rsidRDefault="00784FBB" w:rsidP="00784FBB">
            <w:pPr>
              <w:pStyle w:val="normal0"/>
            </w:pPr>
          </w:p>
          <w:p w14:paraId="3F4030D1" w14:textId="77777777" w:rsidR="00784FBB" w:rsidRDefault="00784FBB" w:rsidP="00784FBB">
            <w:pPr>
              <w:pStyle w:val="normal0"/>
            </w:pPr>
            <w:r>
              <w:rPr>
                <w:i/>
              </w:rPr>
              <w:t>Least invasive access to data necessary for meeting stated objectives: automated analysis over manual perusal when possible</w:t>
            </w:r>
          </w:p>
        </w:tc>
        <w:tc>
          <w:tcPr>
            <w:tcW w:w="5693" w:type="dxa"/>
            <w:shd w:val="clear" w:color="auto" w:fill="auto"/>
          </w:tcPr>
          <w:p w14:paraId="1C9D9C24" w14:textId="77777777" w:rsidR="00784FBB" w:rsidRDefault="00784FBB" w:rsidP="00784FBB">
            <w:pPr>
              <w:pStyle w:val="normal0"/>
              <w:contextualSpacing/>
            </w:pPr>
          </w:p>
        </w:tc>
      </w:tr>
      <w:tr w:rsidR="00784FBB" w14:paraId="1083F743" w14:textId="77777777" w:rsidTr="00784FBB">
        <w:tc>
          <w:tcPr>
            <w:tcW w:w="675" w:type="dxa"/>
            <w:shd w:val="clear" w:color="auto" w:fill="auto"/>
          </w:tcPr>
          <w:p w14:paraId="5C2F9F37" w14:textId="7E6E0E59" w:rsidR="00784FBB" w:rsidRDefault="00946447" w:rsidP="00784FBB">
            <w:pPr>
              <w:pStyle w:val="normal0"/>
            </w:pPr>
            <w:r>
              <w:t>6</w:t>
            </w:r>
          </w:p>
        </w:tc>
        <w:tc>
          <w:tcPr>
            <w:tcW w:w="3730" w:type="dxa"/>
            <w:shd w:val="clear" w:color="auto" w:fill="auto"/>
          </w:tcPr>
          <w:p w14:paraId="29FBF772" w14:textId="77777777" w:rsidR="00784FBB" w:rsidRDefault="00784FBB" w:rsidP="00784FBB">
            <w:pPr>
              <w:pStyle w:val="normal0"/>
            </w:pPr>
            <w:r>
              <w:rPr>
                <w:b/>
              </w:rPr>
              <w:t xml:space="preserve">Least Disclosure: </w:t>
            </w:r>
            <w:r>
              <w:rPr>
                <w:i/>
              </w:rPr>
              <w:t>Planned disclosures minimized to the least amount necessary for meeting stated objectives</w:t>
            </w:r>
          </w:p>
          <w:p w14:paraId="42508A8F" w14:textId="77777777" w:rsidR="00784FBB" w:rsidRDefault="00784FBB" w:rsidP="00784FBB">
            <w:pPr>
              <w:pStyle w:val="normal0"/>
            </w:pPr>
          </w:p>
          <w:p w14:paraId="26E067FE" w14:textId="69E7B43D" w:rsidR="00784FBB" w:rsidRDefault="00543E12" w:rsidP="00784FBB">
            <w:pPr>
              <w:pStyle w:val="normal0"/>
            </w:pPr>
            <w:r>
              <w:rPr>
                <w:b/>
              </w:rPr>
              <w:t xml:space="preserve">a. </w:t>
            </w:r>
            <w:r w:rsidR="00784FBB">
              <w:rPr>
                <w:b/>
              </w:rPr>
              <w:t>Disclosure to Partners Outside of Monitoring Unit</w:t>
            </w:r>
          </w:p>
          <w:p w14:paraId="0A023F29" w14:textId="77777777" w:rsidR="00784FBB" w:rsidRDefault="00784FBB" w:rsidP="00784FBB">
            <w:pPr>
              <w:pStyle w:val="normal0"/>
            </w:pPr>
          </w:p>
          <w:p w14:paraId="133DD11A" w14:textId="78FA8330" w:rsidR="00784FBB" w:rsidRDefault="00543E12" w:rsidP="00784FBB">
            <w:pPr>
              <w:pStyle w:val="normal0"/>
            </w:pPr>
            <w:r>
              <w:rPr>
                <w:b/>
              </w:rPr>
              <w:t xml:space="preserve">b. </w:t>
            </w:r>
            <w:r w:rsidR="00784FBB">
              <w:rPr>
                <w:b/>
              </w:rPr>
              <w:t>Escalation Path</w:t>
            </w:r>
          </w:p>
          <w:p w14:paraId="458B97AE" w14:textId="77777777" w:rsidR="00784FBB" w:rsidRDefault="00784FBB" w:rsidP="00784FBB">
            <w:pPr>
              <w:pStyle w:val="normal0"/>
            </w:pPr>
            <w:r>
              <w:rPr>
                <w:i/>
              </w:rPr>
              <w:t>First contact concerned individual(s) unless otherwise defined and justified. Further escalation depending on urgency</w:t>
            </w:r>
          </w:p>
        </w:tc>
        <w:tc>
          <w:tcPr>
            <w:tcW w:w="5693" w:type="dxa"/>
            <w:shd w:val="clear" w:color="auto" w:fill="auto"/>
          </w:tcPr>
          <w:p w14:paraId="1746C1C2" w14:textId="77777777" w:rsidR="00784FBB" w:rsidRDefault="00784FBB" w:rsidP="00784FBB">
            <w:pPr>
              <w:pStyle w:val="normal0"/>
            </w:pPr>
            <w:r>
              <w:t xml:space="preserve"> </w:t>
            </w:r>
          </w:p>
        </w:tc>
      </w:tr>
      <w:tr w:rsidR="00784FBB" w14:paraId="6914C0E6" w14:textId="77777777" w:rsidTr="00784FBB">
        <w:tc>
          <w:tcPr>
            <w:tcW w:w="675" w:type="dxa"/>
            <w:shd w:val="clear" w:color="auto" w:fill="auto"/>
          </w:tcPr>
          <w:p w14:paraId="31B17944" w14:textId="0AA1D4F6" w:rsidR="00784FBB" w:rsidRDefault="00946447" w:rsidP="00784FBB">
            <w:pPr>
              <w:pStyle w:val="normal0"/>
            </w:pPr>
            <w:r>
              <w:t>7</w:t>
            </w:r>
          </w:p>
        </w:tc>
        <w:tc>
          <w:tcPr>
            <w:tcW w:w="3730" w:type="dxa"/>
            <w:shd w:val="clear" w:color="auto" w:fill="auto"/>
          </w:tcPr>
          <w:p w14:paraId="0085FAD3" w14:textId="77777777" w:rsidR="00784FBB" w:rsidRDefault="00784FBB" w:rsidP="00784FBB">
            <w:pPr>
              <w:pStyle w:val="normal0"/>
            </w:pPr>
            <w:r>
              <w:rPr>
                <w:b/>
              </w:rPr>
              <w:t xml:space="preserve">Minimal Retention: </w:t>
            </w:r>
            <w:r>
              <w:rPr>
                <w:i/>
              </w:rPr>
              <w:t>retained only as long as needed to meet stated objectives</w:t>
            </w:r>
          </w:p>
        </w:tc>
        <w:tc>
          <w:tcPr>
            <w:tcW w:w="5693" w:type="dxa"/>
            <w:shd w:val="clear" w:color="auto" w:fill="auto"/>
          </w:tcPr>
          <w:p w14:paraId="2EF43151" w14:textId="77777777" w:rsidR="00784FBB" w:rsidRDefault="00784FBB" w:rsidP="00784FBB">
            <w:pPr>
              <w:pStyle w:val="normal0"/>
              <w:contextualSpacing/>
            </w:pPr>
          </w:p>
        </w:tc>
      </w:tr>
      <w:tr w:rsidR="00784FBB" w14:paraId="470AEF29" w14:textId="77777777" w:rsidTr="00784FBB">
        <w:tc>
          <w:tcPr>
            <w:tcW w:w="675" w:type="dxa"/>
            <w:shd w:val="clear" w:color="auto" w:fill="auto"/>
          </w:tcPr>
          <w:p w14:paraId="5C39200A" w14:textId="19C4F617" w:rsidR="00784FBB" w:rsidRDefault="00946447" w:rsidP="00784FBB">
            <w:pPr>
              <w:pStyle w:val="normal0"/>
            </w:pPr>
            <w:r>
              <w:t>8</w:t>
            </w:r>
          </w:p>
        </w:tc>
        <w:tc>
          <w:tcPr>
            <w:tcW w:w="3730" w:type="dxa"/>
            <w:shd w:val="clear" w:color="auto" w:fill="auto"/>
          </w:tcPr>
          <w:p w14:paraId="168F181F" w14:textId="77777777" w:rsidR="00784FBB" w:rsidRDefault="00784FBB" w:rsidP="00784FBB">
            <w:pPr>
              <w:pStyle w:val="normal0"/>
            </w:pPr>
            <w:r>
              <w:rPr>
                <w:b/>
              </w:rPr>
              <w:t xml:space="preserve">Data Security </w:t>
            </w:r>
            <w:r>
              <w:rPr>
                <w:i/>
              </w:rPr>
              <w:t>documented and resourced plan for securing data, training staff in the proper use and handling of data, and applying strong sanctions for misuse or failure to follow handling procedures</w:t>
            </w:r>
          </w:p>
        </w:tc>
        <w:tc>
          <w:tcPr>
            <w:tcW w:w="5693" w:type="dxa"/>
            <w:shd w:val="clear" w:color="auto" w:fill="auto"/>
          </w:tcPr>
          <w:p w14:paraId="0A9D13BD" w14:textId="77777777" w:rsidR="00784FBB" w:rsidRDefault="00784FBB" w:rsidP="00784FBB">
            <w:pPr>
              <w:pStyle w:val="normal0"/>
            </w:pPr>
          </w:p>
        </w:tc>
      </w:tr>
      <w:tr w:rsidR="005E2176" w14:paraId="18C5ED86" w14:textId="77777777" w:rsidTr="004C23B2">
        <w:tc>
          <w:tcPr>
            <w:tcW w:w="675" w:type="dxa"/>
            <w:shd w:val="clear" w:color="auto" w:fill="DAEEF3" w:themeFill="accent5" w:themeFillTint="33"/>
          </w:tcPr>
          <w:p w14:paraId="0A7830AA" w14:textId="7C35F1DC" w:rsidR="005E2176" w:rsidRDefault="005E2176" w:rsidP="00784FBB">
            <w:pPr>
              <w:pStyle w:val="normal0"/>
            </w:pPr>
            <w:r>
              <w:t>9</w:t>
            </w:r>
          </w:p>
        </w:tc>
        <w:tc>
          <w:tcPr>
            <w:tcW w:w="9423" w:type="dxa"/>
            <w:gridSpan w:val="2"/>
            <w:shd w:val="clear" w:color="auto" w:fill="DAEEF3" w:themeFill="accent5" w:themeFillTint="33"/>
          </w:tcPr>
          <w:p w14:paraId="686F8172" w14:textId="10CF8840" w:rsidR="005E2176" w:rsidRDefault="005E2176" w:rsidP="00784FBB">
            <w:pPr>
              <w:pStyle w:val="normal0"/>
            </w:pPr>
            <w:r>
              <w:rPr>
                <w:b/>
              </w:rPr>
              <w:t>Transparency and Accountability</w:t>
            </w:r>
          </w:p>
        </w:tc>
      </w:tr>
      <w:tr w:rsidR="005E2176" w14:paraId="3AC2676C" w14:textId="77777777" w:rsidTr="00784FBB">
        <w:tc>
          <w:tcPr>
            <w:tcW w:w="675" w:type="dxa"/>
            <w:shd w:val="clear" w:color="auto" w:fill="auto"/>
          </w:tcPr>
          <w:p w14:paraId="0CBD9FE3" w14:textId="4A9CE28A" w:rsidR="005E2176" w:rsidRDefault="005E2176" w:rsidP="00784FBB">
            <w:pPr>
              <w:pStyle w:val="normal0"/>
            </w:pPr>
            <w:proofErr w:type="gramStart"/>
            <w:r>
              <w:t>a</w:t>
            </w:r>
            <w:proofErr w:type="gramEnd"/>
          </w:p>
        </w:tc>
        <w:tc>
          <w:tcPr>
            <w:tcW w:w="3730" w:type="dxa"/>
            <w:shd w:val="clear" w:color="auto" w:fill="auto"/>
          </w:tcPr>
          <w:p w14:paraId="7FABB4ED" w14:textId="77777777" w:rsidR="005E2176" w:rsidRDefault="005E2176" w:rsidP="005E2176">
            <w:pPr>
              <w:pStyle w:val="normal0"/>
            </w:pPr>
            <w:r>
              <w:rPr>
                <w:b/>
              </w:rPr>
              <w:t>Notice</w:t>
            </w:r>
          </w:p>
          <w:p w14:paraId="61AB9204" w14:textId="7948DE68" w:rsidR="005E2176" w:rsidRDefault="005E2176" w:rsidP="005E2176">
            <w:pPr>
              <w:pStyle w:val="normal0"/>
              <w:rPr>
                <w:b/>
              </w:rPr>
            </w:pPr>
            <w:r>
              <w:rPr>
                <w:i/>
              </w:rPr>
              <w:t xml:space="preserve">(Planned) location and text of </w:t>
            </w:r>
            <w:r w:rsidRPr="00946447">
              <w:rPr>
                <w:i/>
              </w:rPr>
              <w:t xml:space="preserve">general information about </w:t>
            </w:r>
            <w:r>
              <w:rPr>
                <w:i/>
              </w:rPr>
              <w:t>Monitoring Practice p</w:t>
            </w:r>
            <w:r w:rsidRPr="00946447">
              <w:rPr>
                <w:i/>
              </w:rPr>
              <w:t>ubli</w:t>
            </w:r>
            <w:r>
              <w:rPr>
                <w:i/>
              </w:rPr>
              <w:t>shed</w:t>
            </w:r>
            <w:r w:rsidRPr="00946447">
              <w:rPr>
                <w:i/>
              </w:rPr>
              <w:t xml:space="preserve"> to users</w:t>
            </w:r>
          </w:p>
        </w:tc>
        <w:tc>
          <w:tcPr>
            <w:tcW w:w="5693" w:type="dxa"/>
            <w:shd w:val="clear" w:color="auto" w:fill="auto"/>
          </w:tcPr>
          <w:p w14:paraId="0E0D9965" w14:textId="77777777" w:rsidR="005E2176" w:rsidRDefault="005E2176" w:rsidP="00784FBB">
            <w:pPr>
              <w:pStyle w:val="normal0"/>
            </w:pPr>
          </w:p>
        </w:tc>
      </w:tr>
      <w:tr w:rsidR="005E2176" w14:paraId="7A6576C6" w14:textId="77777777" w:rsidTr="00784FBB">
        <w:tc>
          <w:tcPr>
            <w:tcW w:w="675" w:type="dxa"/>
            <w:shd w:val="clear" w:color="auto" w:fill="auto"/>
          </w:tcPr>
          <w:p w14:paraId="09A2095B" w14:textId="7C8A0936" w:rsidR="005E2176" w:rsidRDefault="005E2176" w:rsidP="00784FBB">
            <w:pPr>
              <w:pStyle w:val="normal0"/>
            </w:pPr>
            <w:proofErr w:type="gramStart"/>
            <w:r>
              <w:t>b</w:t>
            </w:r>
            <w:proofErr w:type="gramEnd"/>
          </w:p>
        </w:tc>
        <w:tc>
          <w:tcPr>
            <w:tcW w:w="3730" w:type="dxa"/>
            <w:shd w:val="clear" w:color="auto" w:fill="auto"/>
          </w:tcPr>
          <w:p w14:paraId="569050D4" w14:textId="77777777" w:rsidR="005E2176" w:rsidRDefault="005E2176" w:rsidP="005E2176">
            <w:pPr>
              <w:pStyle w:val="normal0"/>
            </w:pPr>
            <w:r>
              <w:rPr>
                <w:b/>
              </w:rPr>
              <w:t>Reporting</w:t>
            </w:r>
          </w:p>
          <w:p w14:paraId="7979CABA" w14:textId="77777777" w:rsidR="005E2176" w:rsidRDefault="005E2176" w:rsidP="005E2176">
            <w:pPr>
              <w:pStyle w:val="normal0"/>
            </w:pPr>
          </w:p>
          <w:p w14:paraId="284DAE7E" w14:textId="5063291F" w:rsidR="005E2176" w:rsidRDefault="005E2176" w:rsidP="005E2176">
            <w:pPr>
              <w:pStyle w:val="normal0"/>
              <w:rPr>
                <w:b/>
              </w:rPr>
            </w:pPr>
            <w:r>
              <w:rPr>
                <w:i/>
              </w:rPr>
              <w:t xml:space="preserve">Procedures for notifying privacyoffice@berkeley.edu prior to </w:t>
            </w:r>
            <w:r>
              <w:rPr>
                <w:i/>
              </w:rPr>
              <w:lastRenderedPageBreak/>
              <w:t>any non-routine access to monitoring data. Procedures for keeping records of all non-routine access and for submitting an annual report of this information to IRGC.</w:t>
            </w:r>
          </w:p>
        </w:tc>
        <w:tc>
          <w:tcPr>
            <w:tcW w:w="5693" w:type="dxa"/>
            <w:shd w:val="clear" w:color="auto" w:fill="auto"/>
          </w:tcPr>
          <w:p w14:paraId="472BE7B9" w14:textId="77777777" w:rsidR="005E2176" w:rsidRDefault="005E2176" w:rsidP="00784FBB">
            <w:pPr>
              <w:pStyle w:val="normal0"/>
            </w:pPr>
          </w:p>
        </w:tc>
      </w:tr>
      <w:tr w:rsidR="005E2176" w14:paraId="7F9EF5C1" w14:textId="77777777" w:rsidTr="00784FBB">
        <w:tc>
          <w:tcPr>
            <w:tcW w:w="675" w:type="dxa"/>
            <w:shd w:val="clear" w:color="auto" w:fill="auto"/>
          </w:tcPr>
          <w:p w14:paraId="35BBD998" w14:textId="072D654E" w:rsidR="005E2176" w:rsidRDefault="005E2176" w:rsidP="00784FBB">
            <w:pPr>
              <w:pStyle w:val="normal0"/>
            </w:pPr>
            <w:r>
              <w:lastRenderedPageBreak/>
              <w:t>9c</w:t>
            </w:r>
          </w:p>
        </w:tc>
        <w:tc>
          <w:tcPr>
            <w:tcW w:w="3730" w:type="dxa"/>
            <w:shd w:val="clear" w:color="auto" w:fill="auto"/>
          </w:tcPr>
          <w:p w14:paraId="29F9D3B3" w14:textId="77777777" w:rsidR="005E2176" w:rsidRDefault="005E2176" w:rsidP="005E2176">
            <w:pPr>
              <w:pStyle w:val="normal0"/>
            </w:pPr>
            <w:r>
              <w:rPr>
                <w:b/>
              </w:rPr>
              <w:t>Compliance</w:t>
            </w:r>
          </w:p>
          <w:p w14:paraId="02976C65" w14:textId="703B5177" w:rsidR="005E2176" w:rsidRDefault="005E2176" w:rsidP="005E2176">
            <w:pPr>
              <w:pStyle w:val="normal0"/>
              <w:rPr>
                <w:b/>
              </w:rPr>
            </w:pPr>
            <w:r>
              <w:rPr>
                <w:i/>
              </w:rPr>
              <w:t>Procedures for ensuring ongoing compliance</w:t>
            </w:r>
          </w:p>
        </w:tc>
        <w:tc>
          <w:tcPr>
            <w:tcW w:w="5693" w:type="dxa"/>
            <w:shd w:val="clear" w:color="auto" w:fill="auto"/>
          </w:tcPr>
          <w:p w14:paraId="06261FCF" w14:textId="77777777" w:rsidR="005E2176" w:rsidRDefault="005E2176" w:rsidP="00784FBB">
            <w:pPr>
              <w:pStyle w:val="normal0"/>
            </w:pPr>
          </w:p>
        </w:tc>
      </w:tr>
    </w:tbl>
    <w:p w14:paraId="4A7460F3" w14:textId="77777777" w:rsidR="00EA338E" w:rsidRDefault="00EA338E" w:rsidP="00784FBB">
      <w:pPr>
        <w:pStyle w:val="normal0"/>
        <w:ind w:left="-360"/>
        <w:rPr>
          <w:b/>
        </w:rPr>
      </w:pPr>
      <w:bookmarkStart w:id="87" w:name="h.1yf8r91udn5f" w:colFirst="0" w:colLast="0"/>
      <w:bookmarkEnd w:id="87"/>
    </w:p>
    <w:p w14:paraId="121AD59D" w14:textId="5021B172" w:rsidR="00D65648" w:rsidRDefault="003509AA" w:rsidP="007F301F">
      <w:pPr>
        <w:pStyle w:val="Heading1"/>
        <w:contextualSpacing w:val="0"/>
      </w:pPr>
      <w:bookmarkStart w:id="88" w:name="h.8e3xdtkkprcl" w:colFirst="0" w:colLast="0"/>
      <w:bookmarkStart w:id="89" w:name="h.b2ll27yhl6am" w:colFirst="0" w:colLast="0"/>
      <w:bookmarkStart w:id="90" w:name="h.loj7u6920j0t" w:colFirst="0" w:colLast="0"/>
      <w:bookmarkStart w:id="91" w:name="_Toc348543411"/>
      <w:bookmarkEnd w:id="88"/>
      <w:bookmarkEnd w:id="89"/>
      <w:bookmarkEnd w:id="90"/>
      <w:r>
        <w:t xml:space="preserve">Document Change </w:t>
      </w:r>
      <w:r w:rsidR="00D65648">
        <w:t>History</w:t>
      </w:r>
      <w:bookmarkEnd w:id="80"/>
      <w:bookmarkEnd w:id="91"/>
    </w:p>
    <w:tbl>
      <w:tblPr>
        <w:tblStyle w:val="a"/>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095"/>
        <w:gridCol w:w="1800"/>
        <w:gridCol w:w="6000"/>
      </w:tblGrid>
      <w:tr w:rsidR="00D65648" w14:paraId="276E476A" w14:textId="77777777" w:rsidTr="00F71A65">
        <w:tc>
          <w:tcPr>
            <w:tcW w:w="1230" w:type="dxa"/>
            <w:shd w:val="clear" w:color="auto" w:fill="D9D2E9"/>
            <w:tcMar>
              <w:top w:w="100" w:type="dxa"/>
              <w:left w:w="100" w:type="dxa"/>
              <w:bottom w:w="100" w:type="dxa"/>
              <w:right w:w="100" w:type="dxa"/>
            </w:tcMar>
          </w:tcPr>
          <w:p w14:paraId="2A81A63A" w14:textId="77777777" w:rsidR="00D65648" w:rsidRDefault="00D65648" w:rsidP="00D65648">
            <w:pPr>
              <w:pStyle w:val="normal0"/>
              <w:widowControl w:val="0"/>
            </w:pPr>
            <w:r>
              <w:t>Date</w:t>
            </w:r>
          </w:p>
        </w:tc>
        <w:tc>
          <w:tcPr>
            <w:tcW w:w="1095" w:type="dxa"/>
            <w:shd w:val="clear" w:color="auto" w:fill="D9D2E9"/>
            <w:tcMar>
              <w:top w:w="100" w:type="dxa"/>
              <w:left w:w="100" w:type="dxa"/>
              <w:bottom w:w="100" w:type="dxa"/>
              <w:right w:w="100" w:type="dxa"/>
            </w:tcMar>
          </w:tcPr>
          <w:p w14:paraId="4AD2CFC5" w14:textId="77777777" w:rsidR="00D65648" w:rsidRDefault="00D65648" w:rsidP="00D65648">
            <w:pPr>
              <w:pStyle w:val="normal0"/>
              <w:widowControl w:val="0"/>
            </w:pPr>
            <w:r>
              <w:t>Version</w:t>
            </w:r>
          </w:p>
        </w:tc>
        <w:tc>
          <w:tcPr>
            <w:tcW w:w="1800" w:type="dxa"/>
            <w:shd w:val="clear" w:color="auto" w:fill="D9D2E9"/>
            <w:tcMar>
              <w:top w:w="100" w:type="dxa"/>
              <w:left w:w="100" w:type="dxa"/>
              <w:bottom w:w="100" w:type="dxa"/>
              <w:right w:w="100" w:type="dxa"/>
            </w:tcMar>
          </w:tcPr>
          <w:p w14:paraId="14798419" w14:textId="77777777" w:rsidR="00D65648" w:rsidRDefault="00D65648" w:rsidP="00D65648">
            <w:pPr>
              <w:pStyle w:val="normal0"/>
              <w:widowControl w:val="0"/>
            </w:pPr>
            <w:r>
              <w:t xml:space="preserve">Modified by </w:t>
            </w:r>
          </w:p>
        </w:tc>
        <w:tc>
          <w:tcPr>
            <w:tcW w:w="6000" w:type="dxa"/>
            <w:shd w:val="clear" w:color="auto" w:fill="D9D2E9"/>
            <w:tcMar>
              <w:top w:w="100" w:type="dxa"/>
              <w:left w:w="100" w:type="dxa"/>
              <w:bottom w:w="100" w:type="dxa"/>
              <w:right w:w="100" w:type="dxa"/>
            </w:tcMar>
          </w:tcPr>
          <w:p w14:paraId="14CD6A28" w14:textId="77777777" w:rsidR="00D65648" w:rsidRDefault="00D65648" w:rsidP="00D65648">
            <w:pPr>
              <w:pStyle w:val="normal0"/>
              <w:widowControl w:val="0"/>
            </w:pPr>
            <w:r>
              <w:t>Description</w:t>
            </w:r>
          </w:p>
        </w:tc>
      </w:tr>
      <w:tr w:rsidR="00D65648" w14:paraId="676543C6" w14:textId="77777777" w:rsidTr="00F71A65">
        <w:tc>
          <w:tcPr>
            <w:tcW w:w="1230" w:type="dxa"/>
            <w:tcMar>
              <w:top w:w="100" w:type="dxa"/>
              <w:left w:w="100" w:type="dxa"/>
              <w:bottom w:w="100" w:type="dxa"/>
              <w:right w:w="100" w:type="dxa"/>
            </w:tcMar>
          </w:tcPr>
          <w:p w14:paraId="4CB680E7" w14:textId="0A5EF4BE" w:rsidR="00D65648" w:rsidRDefault="003509AA" w:rsidP="00D65648">
            <w:pPr>
              <w:pStyle w:val="normal0"/>
              <w:widowControl w:val="0"/>
            </w:pPr>
            <w:r>
              <w:t>2/21/2017</w:t>
            </w:r>
          </w:p>
        </w:tc>
        <w:tc>
          <w:tcPr>
            <w:tcW w:w="1095" w:type="dxa"/>
            <w:tcMar>
              <w:top w:w="100" w:type="dxa"/>
              <w:left w:w="100" w:type="dxa"/>
              <w:bottom w:w="100" w:type="dxa"/>
              <w:right w:w="100" w:type="dxa"/>
            </w:tcMar>
          </w:tcPr>
          <w:p w14:paraId="107BFE21" w14:textId="3FB236DA" w:rsidR="00D65648" w:rsidRDefault="00933512" w:rsidP="00D65648">
            <w:pPr>
              <w:pStyle w:val="normal0"/>
              <w:widowControl w:val="0"/>
            </w:pPr>
            <w:r>
              <w:t>DRAFT</w:t>
            </w:r>
            <w:r w:rsidR="00D65648">
              <w:t>1.0</w:t>
            </w:r>
          </w:p>
        </w:tc>
        <w:tc>
          <w:tcPr>
            <w:tcW w:w="1800" w:type="dxa"/>
            <w:tcMar>
              <w:top w:w="100" w:type="dxa"/>
              <w:left w:w="100" w:type="dxa"/>
              <w:bottom w:w="100" w:type="dxa"/>
              <w:right w:w="100" w:type="dxa"/>
            </w:tcMar>
          </w:tcPr>
          <w:p w14:paraId="7FD0F427" w14:textId="77777777" w:rsidR="00D65648" w:rsidRDefault="00D65648" w:rsidP="00D65648">
            <w:pPr>
              <w:pStyle w:val="normal0"/>
              <w:widowControl w:val="0"/>
            </w:pPr>
            <w:r>
              <w:t>Lisa Ho</w:t>
            </w:r>
          </w:p>
        </w:tc>
        <w:tc>
          <w:tcPr>
            <w:tcW w:w="6000" w:type="dxa"/>
            <w:tcMar>
              <w:top w:w="100" w:type="dxa"/>
              <w:left w:w="100" w:type="dxa"/>
              <w:bottom w:w="100" w:type="dxa"/>
              <w:right w:w="100" w:type="dxa"/>
            </w:tcMar>
          </w:tcPr>
          <w:p w14:paraId="0E3376E7" w14:textId="42D8B3AB" w:rsidR="00D65648" w:rsidRDefault="003509AA" w:rsidP="00D65648">
            <w:pPr>
              <w:pStyle w:val="normal0"/>
              <w:widowControl w:val="0"/>
            </w:pPr>
            <w:r>
              <w:t>Extracted from Privacy and Online Monitoring Policy v1.6</w:t>
            </w:r>
          </w:p>
        </w:tc>
      </w:tr>
      <w:tr w:rsidR="005E2176" w14:paraId="55E2330D" w14:textId="77777777" w:rsidTr="00F71A65">
        <w:tc>
          <w:tcPr>
            <w:tcW w:w="1230" w:type="dxa"/>
            <w:tcMar>
              <w:top w:w="100" w:type="dxa"/>
              <w:left w:w="100" w:type="dxa"/>
              <w:bottom w:w="100" w:type="dxa"/>
              <w:right w:w="100" w:type="dxa"/>
            </w:tcMar>
          </w:tcPr>
          <w:p w14:paraId="48C144FF" w14:textId="24597BA4" w:rsidR="005E2176" w:rsidRDefault="00017477" w:rsidP="00D65648">
            <w:pPr>
              <w:pStyle w:val="normal0"/>
              <w:widowControl w:val="0"/>
            </w:pPr>
            <w:r>
              <w:t>6/26/2017</w:t>
            </w:r>
          </w:p>
        </w:tc>
        <w:tc>
          <w:tcPr>
            <w:tcW w:w="1095" w:type="dxa"/>
            <w:tcMar>
              <w:top w:w="100" w:type="dxa"/>
              <w:left w:w="100" w:type="dxa"/>
              <w:bottom w:w="100" w:type="dxa"/>
              <w:right w:w="100" w:type="dxa"/>
            </w:tcMar>
          </w:tcPr>
          <w:p w14:paraId="257A1110" w14:textId="77777777" w:rsidR="005E2176" w:rsidRDefault="005E2176" w:rsidP="00D65648">
            <w:pPr>
              <w:pStyle w:val="normal0"/>
              <w:widowControl w:val="0"/>
            </w:pPr>
            <w:r>
              <w:t>Draft 1.1</w:t>
            </w:r>
          </w:p>
          <w:p w14:paraId="3980D69C" w14:textId="56ED4670" w:rsidR="00AB0965" w:rsidRDefault="00AB0965" w:rsidP="00D65648">
            <w:pPr>
              <w:pStyle w:val="normal0"/>
              <w:widowControl w:val="0"/>
            </w:pPr>
            <w:r>
              <w:t>(</w:t>
            </w:r>
            <w:proofErr w:type="gramStart"/>
            <w:r>
              <w:t>in</w:t>
            </w:r>
            <w:proofErr w:type="gramEnd"/>
            <w:r>
              <w:t xml:space="preserve"> progress)</w:t>
            </w:r>
          </w:p>
        </w:tc>
        <w:tc>
          <w:tcPr>
            <w:tcW w:w="1800" w:type="dxa"/>
            <w:tcMar>
              <w:top w:w="100" w:type="dxa"/>
              <w:left w:w="100" w:type="dxa"/>
              <w:bottom w:w="100" w:type="dxa"/>
              <w:right w:w="100" w:type="dxa"/>
            </w:tcMar>
          </w:tcPr>
          <w:p w14:paraId="1EB5EEB3" w14:textId="132BFF4C" w:rsidR="005E2176" w:rsidRDefault="005E2176" w:rsidP="00D65648">
            <w:pPr>
              <w:pStyle w:val="normal0"/>
              <w:widowControl w:val="0"/>
            </w:pPr>
            <w:r>
              <w:t>Lisa Ho</w:t>
            </w:r>
          </w:p>
        </w:tc>
        <w:tc>
          <w:tcPr>
            <w:tcW w:w="6000" w:type="dxa"/>
            <w:tcMar>
              <w:top w:w="100" w:type="dxa"/>
              <w:left w:w="100" w:type="dxa"/>
              <w:bottom w:w="100" w:type="dxa"/>
              <w:right w:w="100" w:type="dxa"/>
            </w:tcMar>
          </w:tcPr>
          <w:p w14:paraId="4492FC34" w14:textId="02C832C3" w:rsidR="005E2176" w:rsidRDefault="00AB0965">
            <w:pPr>
              <w:pStyle w:val="normal0"/>
              <w:widowControl w:val="0"/>
            </w:pPr>
            <w:r>
              <w:t>Revisions per campus comments and Policy v1.9</w:t>
            </w:r>
          </w:p>
        </w:tc>
      </w:tr>
    </w:tbl>
    <w:p w14:paraId="47292FC8" w14:textId="746B883F" w:rsidR="00D65648" w:rsidRDefault="00D65648">
      <w:pPr>
        <w:pStyle w:val="normal0"/>
      </w:pPr>
    </w:p>
    <w:p w14:paraId="22D1D988" w14:textId="0E717593" w:rsidR="00A877BD" w:rsidRPr="00A877BD" w:rsidRDefault="00A877BD">
      <w:pPr>
        <w:pStyle w:val="normal0"/>
        <w:ind w:left="720"/>
      </w:pPr>
      <w:bookmarkStart w:id="92" w:name="h.3s6eh96o3yy7" w:colFirst="0" w:colLast="0"/>
      <w:bookmarkEnd w:id="92"/>
    </w:p>
    <w:sectPr w:rsidR="00A877BD" w:rsidRPr="00A877BD" w:rsidSect="00017477">
      <w:headerReference w:type="even" r:id="rId14"/>
      <w:headerReference w:type="default" r:id="rId15"/>
      <w:footerReference w:type="default" r:id="rId16"/>
      <w:headerReference w:type="first" r:id="rId17"/>
      <w:footerReference w:type="first" r:id="rId18"/>
      <w:pgSz w:w="12240" w:h="15840"/>
      <w:pgMar w:top="1440" w:right="1440" w:bottom="720" w:left="1440" w:header="720" w:footer="720" w:gutter="0"/>
      <w:pgNumType w:start="1"/>
      <w:cols w:space="720" w:equalWidth="0">
        <w:col w:w="8640"/>
      </w:cols>
      <w:titlePg/>
    </w:sectPr>
  </w:body>
</w:document>
</file>

<file path=word/commentsExtended.xml><?xml version="1.0" encoding="utf-8"?>
<w15:commentsEx xmlns:mc="http://schemas.openxmlformats.org/markup-compatibility/2006" xmlns:w15="http://schemas.microsoft.com/office/word/2012/wordml" mc:Ignorable="w15">
  <w15:commentEx w15:done="0" w15:paraId="1036B9B2"/>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6D239" w14:textId="77777777" w:rsidR="00017477" w:rsidRDefault="00017477">
      <w:r>
        <w:separator/>
      </w:r>
    </w:p>
  </w:endnote>
  <w:endnote w:type="continuationSeparator" w:id="0">
    <w:p w14:paraId="7C065B39" w14:textId="77777777" w:rsidR="00017477" w:rsidRDefault="00017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904A17" w14:textId="61A2650F" w:rsidR="00017477" w:rsidRDefault="00017477">
    <w:pPr>
      <w:pStyle w:val="normal0"/>
      <w:tabs>
        <w:tab w:val="right" w:pos="9270"/>
        <w:tab w:val="right" w:pos="2520"/>
        <w:tab w:val="right" w:pos="9360"/>
      </w:tabs>
    </w:pPr>
    <w:r>
      <w:t xml:space="preserve">Privacy and Online Monitoring Procedures (DRAFT v1.1 | 2017-04-12)  </w:t>
    </w:r>
    <w:r>
      <w:tab/>
    </w:r>
    <w:r>
      <w:fldChar w:fldCharType="begin"/>
    </w:r>
    <w:r>
      <w:instrText>PAGE</w:instrText>
    </w:r>
    <w:r>
      <w:fldChar w:fldCharType="separate"/>
    </w:r>
    <w:r w:rsidR="004871C3">
      <w:rPr>
        <w:noProof/>
      </w:rPr>
      <w:t>2</w:t>
    </w:r>
    <w:r>
      <w:fldChar w:fldCharType="end"/>
    </w:r>
    <w:r>
      <w:t xml:space="preserve"> of </w:t>
    </w:r>
    <w:r>
      <w:fldChar w:fldCharType="begin"/>
    </w:r>
    <w:r>
      <w:instrText>NUMPAGES</w:instrText>
    </w:r>
    <w:r>
      <w:fldChar w:fldCharType="separate"/>
    </w:r>
    <w:r w:rsidR="004871C3">
      <w:rPr>
        <w:noProof/>
      </w:rPr>
      <w:t>12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3DE3E6" w14:textId="69ABFDB6" w:rsidR="00017477" w:rsidRDefault="00017477" w:rsidP="00A32416">
    <w:pPr>
      <w:pStyle w:val="normal0"/>
      <w:tabs>
        <w:tab w:val="right" w:pos="9270"/>
        <w:tab w:val="right" w:pos="2520"/>
        <w:tab w:val="right" w:pos="9360"/>
      </w:tabs>
    </w:pPr>
    <w:r>
      <w:t>UCB Privacy and Online Monitoring Procedures (DRAFT v1.1 | 2017-0</w:t>
    </w:r>
    <w:r w:rsidR="004871C3">
      <w:t>6</w:t>
    </w:r>
    <w:r>
      <w:t>-</w:t>
    </w:r>
    <w:r w:rsidR="004871C3">
      <w:t>24</w:t>
    </w:r>
    <w:r>
      <w:t xml:space="preserve">)  </w:t>
    </w:r>
    <w:r>
      <w:tab/>
    </w:r>
    <w:r>
      <w:fldChar w:fldCharType="begin"/>
    </w:r>
    <w:r>
      <w:instrText>PAGE</w:instrText>
    </w:r>
    <w:r>
      <w:fldChar w:fldCharType="separate"/>
    </w:r>
    <w:r w:rsidR="004871C3">
      <w:rPr>
        <w:noProof/>
      </w:rPr>
      <w:t>1</w:t>
    </w:r>
    <w:r>
      <w:fldChar w:fldCharType="end"/>
    </w:r>
    <w:r>
      <w:t xml:space="preserve"> of </w:t>
    </w:r>
    <w:r>
      <w:fldChar w:fldCharType="begin"/>
    </w:r>
    <w:r>
      <w:instrText>NUMPAGES</w:instrText>
    </w:r>
    <w:r>
      <w:fldChar w:fldCharType="separate"/>
    </w:r>
    <w:r w:rsidR="004871C3">
      <w:rPr>
        <w:noProof/>
      </w:rPr>
      <w:t>12</w:t>
    </w:r>
    <w:r>
      <w:fldChar w:fldCharType="end"/>
    </w:r>
  </w:p>
  <w:p w14:paraId="1EB0C9E4" w14:textId="77777777" w:rsidR="00017477" w:rsidRDefault="00017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45CA7" w14:textId="77777777" w:rsidR="00017477" w:rsidRDefault="00017477">
      <w:r>
        <w:separator/>
      </w:r>
    </w:p>
  </w:footnote>
  <w:footnote w:type="continuationSeparator" w:id="0">
    <w:p w14:paraId="7693E9B3" w14:textId="77777777" w:rsidR="00017477" w:rsidRDefault="00017477">
      <w:r>
        <w:continuationSeparator/>
      </w:r>
    </w:p>
  </w:footnote>
  <w:footnote w:id="1">
    <w:p w14:paraId="2FE44E1B" w14:textId="50F4B027" w:rsidR="00017477" w:rsidRDefault="00017477">
      <w:pPr>
        <w:pStyle w:val="normal0"/>
      </w:pPr>
      <w:r>
        <w:rPr>
          <w:vertAlign w:val="superscript"/>
        </w:rPr>
        <w:footnoteRef/>
      </w:r>
      <w:r>
        <w:rPr>
          <w:sz w:val="20"/>
          <w:szCs w:val="20"/>
        </w:rPr>
        <w:t xml:space="preserve"> The Privacy Balancing Analysis Factors were established based on information security monitoring use cases and reflect widely accepted privacy conventions found in the </w:t>
      </w:r>
      <w:hyperlink r:id="rId1">
        <w:r>
          <w:rPr>
            <w:color w:val="1155CC"/>
            <w:sz w:val="20"/>
            <w:szCs w:val="20"/>
            <w:u w:val="single"/>
          </w:rPr>
          <w:t>Fair Information Practice Principles (FIPPs)</w:t>
        </w:r>
      </w:hyperlink>
      <w:r>
        <w:rPr>
          <w:sz w:val="20"/>
          <w:szCs w:val="20"/>
        </w:rPr>
        <w:t xml:space="preserve">. As the Campus applies this process to additional use cases, the Balancing Analysis Factors will be revised as needed after appropriate </w:t>
      </w:r>
      <w:proofErr w:type="spellStart"/>
      <w:r>
        <w:rPr>
          <w:sz w:val="20"/>
          <w:szCs w:val="20"/>
        </w:rPr>
        <w:t>Campuswide</w:t>
      </w:r>
      <w:proofErr w:type="spellEnd"/>
      <w:r>
        <w:rPr>
          <w:sz w:val="20"/>
          <w:szCs w:val="20"/>
        </w:rPr>
        <w:t xml:space="preserve"> review and vetting.</w:t>
      </w:r>
    </w:p>
  </w:footnote>
  <w:footnote w:id="2">
    <w:p w14:paraId="29D95186" w14:textId="03CD8838" w:rsidR="00017477" w:rsidRPr="00172434" w:rsidRDefault="00017477" w:rsidP="00F71A65">
      <w:pPr>
        <w:pStyle w:val="FootnoteText"/>
        <w:ind w:left="360"/>
        <w:rPr>
          <w:sz w:val="20"/>
          <w:szCs w:val="20"/>
        </w:rPr>
      </w:pPr>
      <w:r>
        <w:rPr>
          <w:rStyle w:val="FootnoteReference"/>
        </w:rPr>
        <w:footnoteRef/>
      </w:r>
      <w:r>
        <w:t xml:space="preserve"> </w:t>
      </w:r>
      <w:r>
        <w:rPr>
          <w:sz w:val="20"/>
          <w:szCs w:val="20"/>
        </w:rPr>
        <w:t xml:space="preserve">In </w:t>
      </w:r>
      <w:r w:rsidRPr="00172434">
        <w:rPr>
          <w:sz w:val="20"/>
          <w:szCs w:val="20"/>
        </w:rPr>
        <w:t xml:space="preserve">responding to </w:t>
      </w:r>
      <w:r>
        <w:rPr>
          <w:sz w:val="20"/>
          <w:szCs w:val="20"/>
        </w:rPr>
        <w:t>Public Records Request</w:t>
      </w:r>
      <w:r w:rsidRPr="00172434">
        <w:rPr>
          <w:sz w:val="20"/>
          <w:szCs w:val="20"/>
        </w:rPr>
        <w:t>, the campus must balance the competing interests of (a) providing access to records about how public business is conducted, against (b) protecting the rights of privacy of an individual whose information may exist in those records.</w:t>
      </w:r>
      <w:r>
        <w:rPr>
          <w:sz w:val="20"/>
          <w:szCs w:val="20"/>
        </w:rPr>
        <w:t xml:space="preserve"> The Balancing Analysis should include considerations for such balancing.</w:t>
      </w:r>
    </w:p>
    <w:p w14:paraId="191E316A" w14:textId="5C1C44D3" w:rsidR="00017477" w:rsidRDefault="00017477">
      <w:pPr>
        <w:pStyle w:val="FootnoteText"/>
      </w:pPr>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7F1D95" w14:textId="7AA9A41B" w:rsidR="00017477" w:rsidRDefault="004871C3">
    <w:pPr>
      <w:pStyle w:val="Header"/>
    </w:pPr>
    <w:r>
      <w:rPr>
        <w:noProof/>
      </w:rPr>
      <w:pict w14:anchorId="1C40BD4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6CEDAA" w14:textId="469E5481" w:rsidR="00017477" w:rsidRDefault="004871C3" w:rsidP="00213B0B">
    <w:pPr>
      <w:pStyle w:val="normal0"/>
      <w:tabs>
        <w:tab w:val="center" w:pos="4320"/>
        <w:tab w:val="right" w:pos="8640"/>
      </w:tabs>
      <w:spacing w:before="120"/>
      <w:jc w:val="center"/>
    </w:pPr>
    <w:r>
      <w:rPr>
        <w:noProof/>
      </w:rPr>
      <w:pict w14:anchorId="323216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
          <v:textpath style="font-family:&quot;Times New Roman&quot;;font-size:1pt" string="DRAFT"/>
          <w10:wrap anchorx="margin" anchory="margin"/>
        </v:shape>
      </w:pict>
    </w:r>
    <w:r w:rsidR="00017477">
      <w:rPr>
        <w:b/>
      </w:rPr>
      <w:t>UNIVERSITY OF CALIFORNIA, BERKELEY</w:t>
    </w:r>
  </w:p>
  <w:p w14:paraId="58994DBF" w14:textId="4A58D7FA" w:rsidR="00017477" w:rsidRDefault="00017477">
    <w:pPr>
      <w:pStyle w:val="normal0"/>
      <w:tabs>
        <w:tab w:val="center" w:pos="4320"/>
        <w:tab w:val="right" w:pos="8640"/>
      </w:tabs>
      <w:jc w:val="center"/>
    </w:pPr>
    <w:r w:rsidRPr="00CF6613">
      <w:rPr>
        <w:b/>
        <w:color w:val="auto"/>
        <w:highlight w:val="yellow"/>
      </w:rPr>
      <w:t>DRAFT</w:t>
    </w:r>
    <w:r w:rsidRPr="00213B0B">
      <w:rPr>
        <w:b/>
        <w:color w:val="auto"/>
      </w:rPr>
      <w:t xml:space="preserve"> Privacy and</w:t>
    </w:r>
    <w:r>
      <w:t xml:space="preserve"> </w:t>
    </w:r>
    <w:r>
      <w:rPr>
        <w:b/>
      </w:rPr>
      <w:t>Online Monitoring Balancing Process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3FEE7" w14:textId="67D40C7D" w:rsidR="00017477" w:rsidRDefault="004871C3">
    <w:pPr>
      <w:pStyle w:val="Header"/>
    </w:pPr>
    <w:r>
      <w:rPr>
        <w:noProof/>
      </w:rPr>
      <w:pict w14:anchorId="6A26A6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FD1"/>
    <w:multiLevelType w:val="multilevel"/>
    <w:tmpl w:val="7914603C"/>
    <w:lvl w:ilvl="0">
      <w:start w:val="1"/>
      <w:numFmt w:val="lowerRoman"/>
      <w:lvlText w:val="%1."/>
      <w:lvlJc w:val="righ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443F13"/>
    <w:multiLevelType w:val="hybridMultilevel"/>
    <w:tmpl w:val="9550992E"/>
    <w:lvl w:ilvl="0" w:tplc="9E4664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A52AFA"/>
    <w:multiLevelType w:val="multilevel"/>
    <w:tmpl w:val="F7F63C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5DE3910"/>
    <w:multiLevelType w:val="multilevel"/>
    <w:tmpl w:val="B44EA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5DE4547"/>
    <w:multiLevelType w:val="multilevel"/>
    <w:tmpl w:val="120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D78B3"/>
    <w:multiLevelType w:val="multilevel"/>
    <w:tmpl w:val="842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D67D7"/>
    <w:multiLevelType w:val="multilevel"/>
    <w:tmpl w:val="C304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521CB"/>
    <w:multiLevelType w:val="multilevel"/>
    <w:tmpl w:val="5A8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155D3C"/>
    <w:multiLevelType w:val="multilevel"/>
    <w:tmpl w:val="1520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E11C1"/>
    <w:multiLevelType w:val="hybridMultilevel"/>
    <w:tmpl w:val="0BFA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7097"/>
    <w:multiLevelType w:val="hybridMultilevel"/>
    <w:tmpl w:val="618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E0CD8"/>
    <w:multiLevelType w:val="hybridMultilevel"/>
    <w:tmpl w:val="EDF8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F75CE"/>
    <w:multiLevelType w:val="hybridMultilevel"/>
    <w:tmpl w:val="5F965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24F00"/>
    <w:multiLevelType w:val="hybridMultilevel"/>
    <w:tmpl w:val="0BFA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BE6294"/>
    <w:multiLevelType w:val="multilevel"/>
    <w:tmpl w:val="2A127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200F6"/>
    <w:multiLevelType w:val="multilevel"/>
    <w:tmpl w:val="EEC20BC6"/>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6">
    <w:nsid w:val="25740DBE"/>
    <w:multiLevelType w:val="multilevel"/>
    <w:tmpl w:val="D10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CD5F17"/>
    <w:multiLevelType w:val="multilevel"/>
    <w:tmpl w:val="736A4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75F2038"/>
    <w:multiLevelType w:val="multilevel"/>
    <w:tmpl w:val="6B6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15F89"/>
    <w:multiLevelType w:val="multilevel"/>
    <w:tmpl w:val="9FF87E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nsid w:val="293624D9"/>
    <w:multiLevelType w:val="multilevel"/>
    <w:tmpl w:val="5EB4AE5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lowerRoman"/>
      <w:lvlText w:val="%3."/>
      <w:lvlJc w:val="right"/>
      <w:pPr>
        <w:ind w:left="4320" w:hanging="360"/>
      </w:pPr>
      <w:rPr>
        <w:i/>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nsid w:val="2A7759EE"/>
    <w:multiLevelType w:val="multilevel"/>
    <w:tmpl w:val="81BC7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677384"/>
    <w:multiLevelType w:val="multilevel"/>
    <w:tmpl w:val="A0CAF1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2E3E3D38"/>
    <w:multiLevelType w:val="multilevel"/>
    <w:tmpl w:val="9E98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69383C"/>
    <w:multiLevelType w:val="multilevel"/>
    <w:tmpl w:val="EEC20BC6"/>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5">
    <w:nsid w:val="2FA91C68"/>
    <w:multiLevelType w:val="multilevel"/>
    <w:tmpl w:val="FF0C0D96"/>
    <w:lvl w:ilvl="0">
      <w:start w:val="1"/>
      <w:numFmt w:val="lowerLetter"/>
      <w:lvlText w:val="%1."/>
      <w:lvlJc w:val="left"/>
      <w:pPr>
        <w:ind w:left="0" w:firstLine="360"/>
      </w:pPr>
      <w:rPr>
        <w:u w:val="none"/>
      </w:rPr>
    </w:lvl>
    <w:lvl w:ilvl="1">
      <w:start w:val="1"/>
      <w:numFmt w:val="lowerRoman"/>
      <w:lvlText w:val="%2."/>
      <w:lvlJc w:val="righ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6">
    <w:nsid w:val="33741639"/>
    <w:multiLevelType w:val="hybridMultilevel"/>
    <w:tmpl w:val="1F2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AD6170"/>
    <w:multiLevelType w:val="hybridMultilevel"/>
    <w:tmpl w:val="1F2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63A56"/>
    <w:multiLevelType w:val="hybridMultilevel"/>
    <w:tmpl w:val="54B4D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CA82876"/>
    <w:multiLevelType w:val="multilevel"/>
    <w:tmpl w:val="C0D64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CC2654"/>
    <w:multiLevelType w:val="multilevel"/>
    <w:tmpl w:val="382A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E53C95"/>
    <w:multiLevelType w:val="multilevel"/>
    <w:tmpl w:val="D1CC3F4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420C11CC"/>
    <w:multiLevelType w:val="multilevel"/>
    <w:tmpl w:val="E30C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3D12E1"/>
    <w:multiLevelType w:val="multilevel"/>
    <w:tmpl w:val="D2DA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0B49AF"/>
    <w:multiLevelType w:val="hybridMultilevel"/>
    <w:tmpl w:val="EAE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03727"/>
    <w:multiLevelType w:val="hybridMultilevel"/>
    <w:tmpl w:val="0ADA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0F092F"/>
    <w:multiLevelType w:val="hybridMultilevel"/>
    <w:tmpl w:val="6D26A33A"/>
    <w:lvl w:ilvl="0" w:tplc="FE7A2A5E">
      <w:start w:val="1"/>
      <w:numFmt w:val="upperLetter"/>
      <w:lvlText w:val="(%1)"/>
      <w:lvlJc w:val="left"/>
      <w:pPr>
        <w:ind w:left="1120" w:hanging="40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EB17E4"/>
    <w:multiLevelType w:val="multilevel"/>
    <w:tmpl w:val="58CC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EC1E46"/>
    <w:multiLevelType w:val="multilevel"/>
    <w:tmpl w:val="3BE2C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65C03D44"/>
    <w:multiLevelType w:val="hybridMultilevel"/>
    <w:tmpl w:val="0BFADD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C37565A"/>
    <w:multiLevelType w:val="multilevel"/>
    <w:tmpl w:val="EEC20BC6"/>
    <w:lvl w:ilvl="0">
      <w:start w:val="1"/>
      <w:numFmt w:val="decimal"/>
      <w:lvlText w:val="%1."/>
      <w:lvlJc w:val="left"/>
      <w:pPr>
        <w:ind w:left="1440" w:firstLine="360"/>
      </w:pPr>
      <w:rPr>
        <w:u w:val="none"/>
      </w:rPr>
    </w:lvl>
    <w:lvl w:ilvl="1">
      <w:start w:val="1"/>
      <w:numFmt w:val="lowerLetter"/>
      <w:lvlText w:val="%2."/>
      <w:lvlJc w:val="left"/>
      <w:pPr>
        <w:ind w:left="2160" w:firstLine="1080"/>
      </w:pPr>
      <w:rPr>
        <w:u w:val="none"/>
      </w:rPr>
    </w:lvl>
    <w:lvl w:ilvl="2">
      <w:start w:val="1"/>
      <w:numFmt w:val="lowerRoman"/>
      <w:lvlText w:val="%3."/>
      <w:lvlJc w:val="right"/>
      <w:pPr>
        <w:ind w:left="2880" w:firstLine="1800"/>
      </w:pPr>
      <w:rPr>
        <w:u w:val="none"/>
      </w:rPr>
    </w:lvl>
    <w:lvl w:ilvl="3">
      <w:start w:val="1"/>
      <w:numFmt w:val="decimal"/>
      <w:lvlText w:val="%4."/>
      <w:lvlJc w:val="left"/>
      <w:pPr>
        <w:ind w:left="3600" w:firstLine="2520"/>
      </w:pPr>
      <w:rPr>
        <w:u w:val="none"/>
      </w:rPr>
    </w:lvl>
    <w:lvl w:ilvl="4">
      <w:start w:val="1"/>
      <w:numFmt w:val="lowerLetter"/>
      <w:lvlText w:val="%5."/>
      <w:lvlJc w:val="left"/>
      <w:pPr>
        <w:ind w:left="4320" w:firstLine="3240"/>
      </w:pPr>
      <w:rPr>
        <w:u w:val="none"/>
      </w:rPr>
    </w:lvl>
    <w:lvl w:ilvl="5">
      <w:start w:val="1"/>
      <w:numFmt w:val="lowerRoman"/>
      <w:lvlText w:val="%6."/>
      <w:lvlJc w:val="right"/>
      <w:pPr>
        <w:ind w:left="5040" w:firstLine="3960"/>
      </w:pPr>
      <w:rPr>
        <w:u w:val="none"/>
      </w:rPr>
    </w:lvl>
    <w:lvl w:ilvl="6">
      <w:start w:val="1"/>
      <w:numFmt w:val="decimal"/>
      <w:lvlText w:val="%7."/>
      <w:lvlJc w:val="left"/>
      <w:pPr>
        <w:ind w:left="5760" w:firstLine="4680"/>
      </w:pPr>
      <w:rPr>
        <w:u w:val="none"/>
      </w:rPr>
    </w:lvl>
    <w:lvl w:ilvl="7">
      <w:start w:val="1"/>
      <w:numFmt w:val="lowerLetter"/>
      <w:lvlText w:val="%8."/>
      <w:lvlJc w:val="left"/>
      <w:pPr>
        <w:ind w:left="6480" w:firstLine="5400"/>
      </w:pPr>
      <w:rPr>
        <w:u w:val="none"/>
      </w:rPr>
    </w:lvl>
    <w:lvl w:ilvl="8">
      <w:start w:val="1"/>
      <w:numFmt w:val="lowerRoman"/>
      <w:lvlText w:val="%9."/>
      <w:lvlJc w:val="right"/>
      <w:pPr>
        <w:ind w:left="7200" w:firstLine="6120"/>
      </w:pPr>
      <w:rPr>
        <w:u w:val="none"/>
      </w:rPr>
    </w:lvl>
  </w:abstractNum>
  <w:abstractNum w:abstractNumId="41">
    <w:nsid w:val="6E4E025C"/>
    <w:multiLevelType w:val="multilevel"/>
    <w:tmpl w:val="511046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1367F32"/>
    <w:multiLevelType w:val="multilevel"/>
    <w:tmpl w:val="CDF0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B5C8E"/>
    <w:multiLevelType w:val="hybridMultilevel"/>
    <w:tmpl w:val="20826E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98D5FE3"/>
    <w:multiLevelType w:val="multilevel"/>
    <w:tmpl w:val="B41C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A2794A"/>
    <w:multiLevelType w:val="multilevel"/>
    <w:tmpl w:val="D88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EC1EB3"/>
    <w:multiLevelType w:val="multilevel"/>
    <w:tmpl w:val="BFE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485D06"/>
    <w:multiLevelType w:val="multilevel"/>
    <w:tmpl w:val="DFCE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1"/>
  </w:num>
  <w:num w:numId="3">
    <w:abstractNumId w:val="38"/>
  </w:num>
  <w:num w:numId="4">
    <w:abstractNumId w:val="31"/>
  </w:num>
  <w:num w:numId="5">
    <w:abstractNumId w:val="0"/>
  </w:num>
  <w:num w:numId="6">
    <w:abstractNumId w:val="20"/>
  </w:num>
  <w:num w:numId="7">
    <w:abstractNumId w:val="17"/>
  </w:num>
  <w:num w:numId="8">
    <w:abstractNumId w:val="22"/>
  </w:num>
  <w:num w:numId="9">
    <w:abstractNumId w:val="40"/>
  </w:num>
  <w:num w:numId="10">
    <w:abstractNumId w:val="3"/>
  </w:num>
  <w:num w:numId="11">
    <w:abstractNumId w:val="25"/>
  </w:num>
  <w:num w:numId="12">
    <w:abstractNumId w:val="13"/>
  </w:num>
  <w:num w:numId="13">
    <w:abstractNumId w:val="11"/>
  </w:num>
  <w:num w:numId="14">
    <w:abstractNumId w:val="24"/>
  </w:num>
  <w:num w:numId="15">
    <w:abstractNumId w:val="15"/>
  </w:num>
  <w:num w:numId="16">
    <w:abstractNumId w:val="39"/>
  </w:num>
  <w:num w:numId="17">
    <w:abstractNumId w:val="26"/>
  </w:num>
  <w:num w:numId="18">
    <w:abstractNumId w:val="2"/>
  </w:num>
  <w:num w:numId="19">
    <w:abstractNumId w:val="10"/>
  </w:num>
  <w:num w:numId="20">
    <w:abstractNumId w:val="43"/>
  </w:num>
  <w:num w:numId="21">
    <w:abstractNumId w:val="35"/>
  </w:num>
  <w:num w:numId="22">
    <w:abstractNumId w:val="9"/>
  </w:num>
  <w:num w:numId="23">
    <w:abstractNumId w:val="27"/>
  </w:num>
  <w:num w:numId="24">
    <w:abstractNumId w:val="32"/>
  </w:num>
  <w:num w:numId="25">
    <w:abstractNumId w:val="36"/>
  </w:num>
  <w:num w:numId="26">
    <w:abstractNumId w:val="28"/>
  </w:num>
  <w:num w:numId="27">
    <w:abstractNumId w:val="12"/>
  </w:num>
  <w:num w:numId="28">
    <w:abstractNumId w:val="1"/>
  </w:num>
  <w:num w:numId="29">
    <w:abstractNumId w:val="21"/>
  </w:num>
  <w:num w:numId="30">
    <w:abstractNumId w:val="34"/>
  </w:num>
  <w:num w:numId="31">
    <w:abstractNumId w:val="29"/>
    <w:lvlOverride w:ilvl="0">
      <w:lvl w:ilvl="0">
        <w:numFmt w:val="upperLetter"/>
        <w:lvlText w:val="%1."/>
        <w:lvlJc w:val="left"/>
      </w:lvl>
    </w:lvlOverride>
  </w:num>
  <w:num w:numId="32">
    <w:abstractNumId w:val="23"/>
  </w:num>
  <w:num w:numId="33">
    <w:abstractNumId w:val="14"/>
  </w:num>
  <w:num w:numId="34">
    <w:abstractNumId w:val="47"/>
  </w:num>
  <w:num w:numId="35">
    <w:abstractNumId w:val="37"/>
  </w:num>
  <w:num w:numId="36">
    <w:abstractNumId w:val="4"/>
  </w:num>
  <w:num w:numId="37">
    <w:abstractNumId w:val="46"/>
  </w:num>
  <w:num w:numId="38">
    <w:abstractNumId w:val="42"/>
  </w:num>
  <w:num w:numId="39">
    <w:abstractNumId w:val="7"/>
  </w:num>
  <w:num w:numId="40">
    <w:abstractNumId w:val="8"/>
  </w:num>
  <w:num w:numId="41">
    <w:abstractNumId w:val="18"/>
  </w:num>
  <w:num w:numId="42">
    <w:abstractNumId w:val="16"/>
  </w:num>
  <w:num w:numId="43">
    <w:abstractNumId w:val="5"/>
  </w:num>
  <w:num w:numId="44">
    <w:abstractNumId w:val="6"/>
  </w:num>
  <w:num w:numId="45">
    <w:abstractNumId w:val="30"/>
  </w:num>
  <w:num w:numId="46">
    <w:abstractNumId w:val="44"/>
  </w:num>
  <w:num w:numId="47">
    <w:abstractNumId w:val="4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proofState w:spelling="clean" w:grammar="clean"/>
  <w:trackRevisions/>
  <w:defaultTabStop w:val="720"/>
  <w:characterSpacingControl w:val="doNotCompress"/>
  <w:hdrShapeDefaults>
    <o:shapedefaults v:ext="edit" spidmax="2054">
      <o:colormenu v:ext="edit" fillcolor="none [671]"/>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80945"/>
    <w:rsid w:val="000138C8"/>
    <w:rsid w:val="00017477"/>
    <w:rsid w:val="00023584"/>
    <w:rsid w:val="000310C5"/>
    <w:rsid w:val="000355A3"/>
    <w:rsid w:val="00050F57"/>
    <w:rsid w:val="000A3A5F"/>
    <w:rsid w:val="000D39FC"/>
    <w:rsid w:val="000F2D81"/>
    <w:rsid w:val="00105B3F"/>
    <w:rsid w:val="00114AB5"/>
    <w:rsid w:val="001273C9"/>
    <w:rsid w:val="001576E5"/>
    <w:rsid w:val="00172434"/>
    <w:rsid w:val="00187B9B"/>
    <w:rsid w:val="001917A1"/>
    <w:rsid w:val="00195B57"/>
    <w:rsid w:val="001F1A6F"/>
    <w:rsid w:val="00210FD7"/>
    <w:rsid w:val="00213B0B"/>
    <w:rsid w:val="002152C3"/>
    <w:rsid w:val="002222ED"/>
    <w:rsid w:val="00222467"/>
    <w:rsid w:val="00247AD5"/>
    <w:rsid w:val="00266E06"/>
    <w:rsid w:val="00266F9F"/>
    <w:rsid w:val="002A45C4"/>
    <w:rsid w:val="002B1BCD"/>
    <w:rsid w:val="002C09A3"/>
    <w:rsid w:val="002D0048"/>
    <w:rsid w:val="002E0CF9"/>
    <w:rsid w:val="00306305"/>
    <w:rsid w:val="00332BA1"/>
    <w:rsid w:val="003509AA"/>
    <w:rsid w:val="00353612"/>
    <w:rsid w:val="0039095A"/>
    <w:rsid w:val="00393771"/>
    <w:rsid w:val="003A3889"/>
    <w:rsid w:val="003C616C"/>
    <w:rsid w:val="003D0C5B"/>
    <w:rsid w:val="003D7C65"/>
    <w:rsid w:val="003E6EB6"/>
    <w:rsid w:val="003F0A53"/>
    <w:rsid w:val="004010CF"/>
    <w:rsid w:val="00416F7A"/>
    <w:rsid w:val="00422262"/>
    <w:rsid w:val="00432D76"/>
    <w:rsid w:val="00443530"/>
    <w:rsid w:val="004607F3"/>
    <w:rsid w:val="00466296"/>
    <w:rsid w:val="00472507"/>
    <w:rsid w:val="00487103"/>
    <w:rsid w:val="004871C3"/>
    <w:rsid w:val="0049229D"/>
    <w:rsid w:val="004A2506"/>
    <w:rsid w:val="004B64FE"/>
    <w:rsid w:val="004C23B2"/>
    <w:rsid w:val="00527CF2"/>
    <w:rsid w:val="00543D2C"/>
    <w:rsid w:val="00543E12"/>
    <w:rsid w:val="005455CD"/>
    <w:rsid w:val="00557452"/>
    <w:rsid w:val="005625AF"/>
    <w:rsid w:val="005637A2"/>
    <w:rsid w:val="0059065E"/>
    <w:rsid w:val="00596CDE"/>
    <w:rsid w:val="0059757A"/>
    <w:rsid w:val="005B0C2C"/>
    <w:rsid w:val="005C309B"/>
    <w:rsid w:val="005C69F1"/>
    <w:rsid w:val="005E2176"/>
    <w:rsid w:val="006010AD"/>
    <w:rsid w:val="006051A8"/>
    <w:rsid w:val="00615924"/>
    <w:rsid w:val="006246A1"/>
    <w:rsid w:val="006304AB"/>
    <w:rsid w:val="00651A9F"/>
    <w:rsid w:val="00673F4B"/>
    <w:rsid w:val="00674AFF"/>
    <w:rsid w:val="006815D4"/>
    <w:rsid w:val="006858FB"/>
    <w:rsid w:val="00691810"/>
    <w:rsid w:val="00694316"/>
    <w:rsid w:val="006B756A"/>
    <w:rsid w:val="006C2A3D"/>
    <w:rsid w:val="006E13EB"/>
    <w:rsid w:val="006E701D"/>
    <w:rsid w:val="006F6089"/>
    <w:rsid w:val="0070396C"/>
    <w:rsid w:val="00707283"/>
    <w:rsid w:val="00727993"/>
    <w:rsid w:val="00735214"/>
    <w:rsid w:val="00751CB8"/>
    <w:rsid w:val="00756EB3"/>
    <w:rsid w:val="0075779A"/>
    <w:rsid w:val="007713D1"/>
    <w:rsid w:val="00780945"/>
    <w:rsid w:val="00782D3F"/>
    <w:rsid w:val="0078362E"/>
    <w:rsid w:val="00784FBB"/>
    <w:rsid w:val="007D3123"/>
    <w:rsid w:val="007F301F"/>
    <w:rsid w:val="00820447"/>
    <w:rsid w:val="008452BE"/>
    <w:rsid w:val="00852467"/>
    <w:rsid w:val="00852953"/>
    <w:rsid w:val="008529AF"/>
    <w:rsid w:val="00853B5A"/>
    <w:rsid w:val="008670D5"/>
    <w:rsid w:val="0088240B"/>
    <w:rsid w:val="008961D7"/>
    <w:rsid w:val="008A2886"/>
    <w:rsid w:val="008A2AD0"/>
    <w:rsid w:val="008A7E61"/>
    <w:rsid w:val="008C279B"/>
    <w:rsid w:val="008C4C48"/>
    <w:rsid w:val="008D221A"/>
    <w:rsid w:val="008D7F33"/>
    <w:rsid w:val="008F19C2"/>
    <w:rsid w:val="00903420"/>
    <w:rsid w:val="00903F87"/>
    <w:rsid w:val="009120D4"/>
    <w:rsid w:val="00921598"/>
    <w:rsid w:val="00924812"/>
    <w:rsid w:val="00933512"/>
    <w:rsid w:val="00946447"/>
    <w:rsid w:val="009629B8"/>
    <w:rsid w:val="0098374A"/>
    <w:rsid w:val="00993233"/>
    <w:rsid w:val="009B45C6"/>
    <w:rsid w:val="009C4E69"/>
    <w:rsid w:val="009F053E"/>
    <w:rsid w:val="00A015DA"/>
    <w:rsid w:val="00A10571"/>
    <w:rsid w:val="00A12A36"/>
    <w:rsid w:val="00A32416"/>
    <w:rsid w:val="00A3668B"/>
    <w:rsid w:val="00A43956"/>
    <w:rsid w:val="00A4660E"/>
    <w:rsid w:val="00A5046E"/>
    <w:rsid w:val="00A532B4"/>
    <w:rsid w:val="00A6390E"/>
    <w:rsid w:val="00A764C7"/>
    <w:rsid w:val="00A77E76"/>
    <w:rsid w:val="00A877BD"/>
    <w:rsid w:val="00A904D5"/>
    <w:rsid w:val="00AB0965"/>
    <w:rsid w:val="00AF3510"/>
    <w:rsid w:val="00AF4355"/>
    <w:rsid w:val="00B1689B"/>
    <w:rsid w:val="00B3268E"/>
    <w:rsid w:val="00B3664E"/>
    <w:rsid w:val="00B47F36"/>
    <w:rsid w:val="00B568F7"/>
    <w:rsid w:val="00BD4EC8"/>
    <w:rsid w:val="00C17BA5"/>
    <w:rsid w:val="00C43D0A"/>
    <w:rsid w:val="00C5514E"/>
    <w:rsid w:val="00C72969"/>
    <w:rsid w:val="00CA308D"/>
    <w:rsid w:val="00CB2474"/>
    <w:rsid w:val="00CC0267"/>
    <w:rsid w:val="00CD473E"/>
    <w:rsid w:val="00CF1095"/>
    <w:rsid w:val="00CF432A"/>
    <w:rsid w:val="00CF6613"/>
    <w:rsid w:val="00D07B9F"/>
    <w:rsid w:val="00D13AF5"/>
    <w:rsid w:val="00D226D1"/>
    <w:rsid w:val="00D47874"/>
    <w:rsid w:val="00D65648"/>
    <w:rsid w:val="00D77E65"/>
    <w:rsid w:val="00D83156"/>
    <w:rsid w:val="00D83F18"/>
    <w:rsid w:val="00DA31CC"/>
    <w:rsid w:val="00DA3804"/>
    <w:rsid w:val="00DD6EA5"/>
    <w:rsid w:val="00DF1069"/>
    <w:rsid w:val="00DF356A"/>
    <w:rsid w:val="00DF4543"/>
    <w:rsid w:val="00DF746A"/>
    <w:rsid w:val="00E150B8"/>
    <w:rsid w:val="00E7213E"/>
    <w:rsid w:val="00E87350"/>
    <w:rsid w:val="00E94F38"/>
    <w:rsid w:val="00EA338E"/>
    <w:rsid w:val="00ED1553"/>
    <w:rsid w:val="00EE797F"/>
    <w:rsid w:val="00F20406"/>
    <w:rsid w:val="00F3114D"/>
    <w:rsid w:val="00F33384"/>
    <w:rsid w:val="00F64489"/>
    <w:rsid w:val="00F70C04"/>
    <w:rsid w:val="00F71A65"/>
    <w:rsid w:val="00F71E38"/>
    <w:rsid w:val="00F767F7"/>
    <w:rsid w:val="00F9714F"/>
    <w:rsid w:val="00F9735C"/>
    <w:rsid w:val="00FA1D52"/>
    <w:rsid w:val="00FB32CC"/>
    <w:rsid w:val="00FC7DD3"/>
    <w:rsid w:val="00FD35C6"/>
    <w:rsid w:val="0F1CB22B"/>
    <w:rsid w:val="2B533CF7"/>
    <w:rsid w:val="42E1C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colormenu v:ext="edit" fillcolor="none [671]"/>
    </o:shapedefaults>
    <o:shapelayout v:ext="edit">
      <o:idmap v:ext="edit" data="1"/>
    </o:shapelayout>
  </w:shapeDefaults>
  <w:decimalSymbol w:val="."/>
  <w:listSeparator w:val=","/>
  <w14:docId w14:val="6503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contextualSpacing/>
      <w:outlineLvl w:val="0"/>
    </w:pPr>
    <w:rPr>
      <w:b/>
      <w:sz w:val="32"/>
      <w:szCs w:val="32"/>
    </w:rPr>
  </w:style>
  <w:style w:type="paragraph" w:styleId="Heading2">
    <w:name w:val="heading 2"/>
    <w:basedOn w:val="normal0"/>
    <w:next w:val="normal0"/>
    <w:rsid w:val="0078362E"/>
    <w:pPr>
      <w:keepNext/>
      <w:keepLines/>
      <w:spacing w:before="360" w:after="80"/>
      <w:contextualSpacing/>
      <w:outlineLvl w:val="1"/>
    </w:pPr>
    <w:rPr>
      <w:b/>
      <w:szCs w:val="28"/>
    </w:rPr>
  </w:style>
  <w:style w:type="paragraph" w:styleId="Heading3">
    <w:name w:val="heading 3"/>
    <w:basedOn w:val="normal0"/>
    <w:next w:val="normal0"/>
    <w:rsid w:val="00CF6613"/>
    <w:pPr>
      <w:keepNext/>
      <w:keepLines/>
      <w:contextualSpacing/>
      <w:outlineLvl w:val="2"/>
    </w:pPr>
    <w:rPr>
      <w:b/>
      <w:szCs w:val="22"/>
    </w:rPr>
  </w:style>
  <w:style w:type="paragraph" w:styleId="Heading4">
    <w:name w:val="heading 4"/>
    <w:basedOn w:val="normal0"/>
    <w:next w:val="normal0"/>
    <w:pPr>
      <w:keepNext/>
      <w:keepLines/>
      <w:spacing w:before="240" w:after="40"/>
      <w:ind w:left="360"/>
      <w:contextualSpacing/>
      <w:outlineLvl w:val="3"/>
    </w:pPr>
    <w:rPr>
      <w:b/>
      <w:sz w:val="22"/>
      <w:szCs w:val="22"/>
    </w:rPr>
  </w:style>
  <w:style w:type="paragraph" w:styleId="Heading5">
    <w:name w:val="heading 5"/>
    <w:basedOn w:val="normal0"/>
    <w:next w:val="normal0"/>
    <w:rsid w:val="0049229D"/>
    <w:pPr>
      <w:keepNext/>
      <w:keepLines/>
      <w:spacing w:before="220" w:after="40"/>
      <w:ind w:left="720"/>
      <w:contextualSpacing/>
      <w:outlineLvl w:val="4"/>
    </w:pPr>
    <w:rPr>
      <w:i/>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D6EA5"/>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EA5"/>
    <w:rPr>
      <w:rFonts w:ascii="Lucida Grande" w:hAnsi="Lucida Grande"/>
      <w:sz w:val="18"/>
      <w:szCs w:val="18"/>
    </w:rPr>
  </w:style>
  <w:style w:type="paragraph" w:styleId="Revision">
    <w:name w:val="Revision"/>
    <w:hidden/>
    <w:uiPriority w:val="99"/>
    <w:semiHidden/>
    <w:rsid w:val="00DD6EA5"/>
  </w:style>
  <w:style w:type="paragraph" w:styleId="Header">
    <w:name w:val="header"/>
    <w:basedOn w:val="Normal"/>
    <w:link w:val="HeaderChar"/>
    <w:uiPriority w:val="99"/>
    <w:unhideWhenUsed/>
    <w:rsid w:val="00DD6EA5"/>
    <w:pPr>
      <w:tabs>
        <w:tab w:val="center" w:pos="4320"/>
        <w:tab w:val="right" w:pos="8640"/>
      </w:tabs>
    </w:pPr>
  </w:style>
  <w:style w:type="character" w:customStyle="1" w:styleId="HeaderChar">
    <w:name w:val="Header Char"/>
    <w:basedOn w:val="DefaultParagraphFont"/>
    <w:link w:val="Header"/>
    <w:uiPriority w:val="99"/>
    <w:rsid w:val="00DD6EA5"/>
  </w:style>
  <w:style w:type="paragraph" w:styleId="Footer">
    <w:name w:val="footer"/>
    <w:basedOn w:val="Normal"/>
    <w:link w:val="FooterChar"/>
    <w:uiPriority w:val="99"/>
    <w:unhideWhenUsed/>
    <w:rsid w:val="00DD6EA5"/>
    <w:pPr>
      <w:tabs>
        <w:tab w:val="center" w:pos="4320"/>
        <w:tab w:val="right" w:pos="8640"/>
      </w:tabs>
    </w:pPr>
  </w:style>
  <w:style w:type="character" w:customStyle="1" w:styleId="FooterChar">
    <w:name w:val="Footer Char"/>
    <w:basedOn w:val="DefaultParagraphFont"/>
    <w:link w:val="Footer"/>
    <w:uiPriority w:val="99"/>
    <w:rsid w:val="00DD6EA5"/>
  </w:style>
  <w:style w:type="paragraph" w:styleId="CommentSubject">
    <w:name w:val="annotation subject"/>
    <w:basedOn w:val="CommentText"/>
    <w:next w:val="CommentText"/>
    <w:link w:val="CommentSubjectChar"/>
    <w:uiPriority w:val="99"/>
    <w:semiHidden/>
    <w:unhideWhenUsed/>
    <w:rsid w:val="00213B0B"/>
    <w:rPr>
      <w:b/>
      <w:bCs/>
      <w:sz w:val="20"/>
      <w:szCs w:val="20"/>
    </w:rPr>
  </w:style>
  <w:style w:type="character" w:customStyle="1" w:styleId="CommentSubjectChar">
    <w:name w:val="Comment Subject Char"/>
    <w:basedOn w:val="CommentTextChar"/>
    <w:link w:val="CommentSubject"/>
    <w:uiPriority w:val="99"/>
    <w:semiHidden/>
    <w:rsid w:val="00213B0B"/>
    <w:rPr>
      <w:b/>
      <w:bCs/>
      <w:sz w:val="20"/>
      <w:szCs w:val="20"/>
    </w:rPr>
  </w:style>
  <w:style w:type="paragraph" w:styleId="TOC1">
    <w:name w:val="toc 1"/>
    <w:basedOn w:val="Normal"/>
    <w:next w:val="Normal"/>
    <w:autoRedefine/>
    <w:uiPriority w:val="39"/>
    <w:unhideWhenUsed/>
    <w:rsid w:val="007F301F"/>
    <w:pPr>
      <w:tabs>
        <w:tab w:val="left" w:pos="360"/>
        <w:tab w:val="left" w:pos="633"/>
        <w:tab w:val="right" w:leader="dot" w:pos="8630"/>
      </w:tabs>
    </w:pPr>
  </w:style>
  <w:style w:type="paragraph" w:styleId="TOC2">
    <w:name w:val="toc 2"/>
    <w:basedOn w:val="Normal"/>
    <w:next w:val="Normal"/>
    <w:autoRedefine/>
    <w:uiPriority w:val="39"/>
    <w:unhideWhenUsed/>
    <w:rsid w:val="00DF746A"/>
    <w:pPr>
      <w:ind w:left="240"/>
    </w:pPr>
  </w:style>
  <w:style w:type="paragraph" w:styleId="TOC3">
    <w:name w:val="toc 3"/>
    <w:basedOn w:val="Normal"/>
    <w:next w:val="Normal"/>
    <w:autoRedefine/>
    <w:uiPriority w:val="39"/>
    <w:unhideWhenUsed/>
    <w:rsid w:val="00DF746A"/>
    <w:pPr>
      <w:ind w:left="480"/>
    </w:pPr>
  </w:style>
  <w:style w:type="paragraph" w:styleId="TOC4">
    <w:name w:val="toc 4"/>
    <w:basedOn w:val="Normal"/>
    <w:next w:val="Normal"/>
    <w:autoRedefine/>
    <w:uiPriority w:val="39"/>
    <w:unhideWhenUsed/>
    <w:rsid w:val="00DF746A"/>
    <w:pPr>
      <w:ind w:left="720"/>
    </w:pPr>
  </w:style>
  <w:style w:type="paragraph" w:styleId="TOC5">
    <w:name w:val="toc 5"/>
    <w:basedOn w:val="Normal"/>
    <w:next w:val="Normal"/>
    <w:autoRedefine/>
    <w:uiPriority w:val="39"/>
    <w:unhideWhenUsed/>
    <w:rsid w:val="00DF746A"/>
    <w:pPr>
      <w:ind w:left="960"/>
    </w:pPr>
  </w:style>
  <w:style w:type="paragraph" w:styleId="TOC6">
    <w:name w:val="toc 6"/>
    <w:basedOn w:val="Normal"/>
    <w:next w:val="Normal"/>
    <w:autoRedefine/>
    <w:uiPriority w:val="39"/>
    <w:unhideWhenUsed/>
    <w:rsid w:val="00DF746A"/>
    <w:pPr>
      <w:ind w:left="1200"/>
    </w:pPr>
  </w:style>
  <w:style w:type="paragraph" w:styleId="TOC7">
    <w:name w:val="toc 7"/>
    <w:basedOn w:val="Normal"/>
    <w:next w:val="Normal"/>
    <w:autoRedefine/>
    <w:uiPriority w:val="39"/>
    <w:unhideWhenUsed/>
    <w:rsid w:val="00DF746A"/>
    <w:pPr>
      <w:ind w:left="1440"/>
    </w:pPr>
  </w:style>
  <w:style w:type="paragraph" w:styleId="TOC8">
    <w:name w:val="toc 8"/>
    <w:basedOn w:val="Normal"/>
    <w:next w:val="Normal"/>
    <w:autoRedefine/>
    <w:uiPriority w:val="39"/>
    <w:unhideWhenUsed/>
    <w:rsid w:val="00DF746A"/>
    <w:pPr>
      <w:ind w:left="1680"/>
    </w:pPr>
  </w:style>
  <w:style w:type="paragraph" w:styleId="TOC9">
    <w:name w:val="toc 9"/>
    <w:basedOn w:val="Normal"/>
    <w:next w:val="Normal"/>
    <w:autoRedefine/>
    <w:uiPriority w:val="39"/>
    <w:unhideWhenUsed/>
    <w:rsid w:val="00DF746A"/>
    <w:pPr>
      <w:ind w:left="1920"/>
    </w:pPr>
  </w:style>
  <w:style w:type="character" w:styleId="Hyperlink">
    <w:name w:val="Hyperlink"/>
    <w:basedOn w:val="DefaultParagraphFont"/>
    <w:uiPriority w:val="99"/>
    <w:unhideWhenUsed/>
    <w:rsid w:val="009B45C6"/>
    <w:rPr>
      <w:color w:val="0000FF" w:themeColor="hyperlink"/>
      <w:u w:val="single"/>
    </w:rPr>
  </w:style>
  <w:style w:type="table" w:styleId="TableGrid">
    <w:name w:val="Table Grid"/>
    <w:basedOn w:val="TableNormal"/>
    <w:uiPriority w:val="59"/>
    <w:rsid w:val="0078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2434"/>
  </w:style>
  <w:style w:type="character" w:customStyle="1" w:styleId="FootnoteTextChar">
    <w:name w:val="Footnote Text Char"/>
    <w:basedOn w:val="DefaultParagraphFont"/>
    <w:link w:val="FootnoteText"/>
    <w:uiPriority w:val="99"/>
    <w:rsid w:val="00172434"/>
  </w:style>
  <w:style w:type="character" w:styleId="FootnoteReference">
    <w:name w:val="footnote reference"/>
    <w:basedOn w:val="DefaultParagraphFont"/>
    <w:uiPriority w:val="99"/>
    <w:unhideWhenUsed/>
    <w:rsid w:val="00172434"/>
    <w:rPr>
      <w:vertAlign w:val="superscript"/>
    </w:rPr>
  </w:style>
  <w:style w:type="paragraph" w:styleId="NormalWeb">
    <w:name w:val="Normal (Web)"/>
    <w:basedOn w:val="Normal"/>
    <w:uiPriority w:val="99"/>
    <w:unhideWhenUsed/>
    <w:rsid w:val="00017477"/>
    <w:pPr>
      <w:spacing w:before="100" w:beforeAutospacing="1" w:after="100" w:afterAutospacing="1"/>
    </w:pPr>
    <w:rPr>
      <w:rFonts w:ascii="Times" w:hAnsi="Times"/>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contextualSpacing/>
      <w:outlineLvl w:val="0"/>
    </w:pPr>
    <w:rPr>
      <w:b/>
      <w:sz w:val="32"/>
      <w:szCs w:val="32"/>
    </w:rPr>
  </w:style>
  <w:style w:type="paragraph" w:styleId="Heading2">
    <w:name w:val="heading 2"/>
    <w:basedOn w:val="normal0"/>
    <w:next w:val="normal0"/>
    <w:rsid w:val="0078362E"/>
    <w:pPr>
      <w:keepNext/>
      <w:keepLines/>
      <w:spacing w:before="360" w:after="80"/>
      <w:contextualSpacing/>
      <w:outlineLvl w:val="1"/>
    </w:pPr>
    <w:rPr>
      <w:b/>
      <w:szCs w:val="28"/>
    </w:rPr>
  </w:style>
  <w:style w:type="paragraph" w:styleId="Heading3">
    <w:name w:val="heading 3"/>
    <w:basedOn w:val="normal0"/>
    <w:next w:val="normal0"/>
    <w:rsid w:val="00CF6613"/>
    <w:pPr>
      <w:keepNext/>
      <w:keepLines/>
      <w:contextualSpacing/>
      <w:outlineLvl w:val="2"/>
    </w:pPr>
    <w:rPr>
      <w:b/>
      <w:szCs w:val="22"/>
    </w:rPr>
  </w:style>
  <w:style w:type="paragraph" w:styleId="Heading4">
    <w:name w:val="heading 4"/>
    <w:basedOn w:val="normal0"/>
    <w:next w:val="normal0"/>
    <w:pPr>
      <w:keepNext/>
      <w:keepLines/>
      <w:spacing w:before="240" w:after="40"/>
      <w:ind w:left="360"/>
      <w:contextualSpacing/>
      <w:outlineLvl w:val="3"/>
    </w:pPr>
    <w:rPr>
      <w:b/>
      <w:sz w:val="22"/>
      <w:szCs w:val="22"/>
    </w:rPr>
  </w:style>
  <w:style w:type="paragraph" w:styleId="Heading5">
    <w:name w:val="heading 5"/>
    <w:basedOn w:val="normal0"/>
    <w:next w:val="normal0"/>
    <w:rsid w:val="0049229D"/>
    <w:pPr>
      <w:keepNext/>
      <w:keepLines/>
      <w:spacing w:before="220" w:after="40"/>
      <w:ind w:left="720"/>
      <w:contextualSpacing/>
      <w:outlineLvl w:val="4"/>
    </w:pPr>
    <w:rPr>
      <w:i/>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D6EA5"/>
    <w:rPr>
      <w:rFonts w:ascii="Lucida Grande" w:hAnsi="Lucida Grande"/>
      <w:sz w:val="18"/>
      <w:szCs w:val="18"/>
    </w:rPr>
  </w:style>
  <w:style w:type="character" w:customStyle="1" w:styleId="BalloonTextChar">
    <w:name w:val="Balloon Text Char"/>
    <w:basedOn w:val="DefaultParagraphFont"/>
    <w:link w:val="BalloonText"/>
    <w:uiPriority w:val="99"/>
    <w:semiHidden/>
    <w:rsid w:val="00DD6EA5"/>
    <w:rPr>
      <w:rFonts w:ascii="Lucida Grande" w:hAnsi="Lucida Grande"/>
      <w:sz w:val="18"/>
      <w:szCs w:val="18"/>
    </w:rPr>
  </w:style>
  <w:style w:type="paragraph" w:styleId="Revision">
    <w:name w:val="Revision"/>
    <w:hidden/>
    <w:uiPriority w:val="99"/>
    <w:semiHidden/>
    <w:rsid w:val="00DD6EA5"/>
  </w:style>
  <w:style w:type="paragraph" w:styleId="Header">
    <w:name w:val="header"/>
    <w:basedOn w:val="Normal"/>
    <w:link w:val="HeaderChar"/>
    <w:uiPriority w:val="99"/>
    <w:unhideWhenUsed/>
    <w:rsid w:val="00DD6EA5"/>
    <w:pPr>
      <w:tabs>
        <w:tab w:val="center" w:pos="4320"/>
        <w:tab w:val="right" w:pos="8640"/>
      </w:tabs>
    </w:pPr>
  </w:style>
  <w:style w:type="character" w:customStyle="1" w:styleId="HeaderChar">
    <w:name w:val="Header Char"/>
    <w:basedOn w:val="DefaultParagraphFont"/>
    <w:link w:val="Header"/>
    <w:uiPriority w:val="99"/>
    <w:rsid w:val="00DD6EA5"/>
  </w:style>
  <w:style w:type="paragraph" w:styleId="Footer">
    <w:name w:val="footer"/>
    <w:basedOn w:val="Normal"/>
    <w:link w:val="FooterChar"/>
    <w:uiPriority w:val="99"/>
    <w:unhideWhenUsed/>
    <w:rsid w:val="00DD6EA5"/>
    <w:pPr>
      <w:tabs>
        <w:tab w:val="center" w:pos="4320"/>
        <w:tab w:val="right" w:pos="8640"/>
      </w:tabs>
    </w:pPr>
  </w:style>
  <w:style w:type="character" w:customStyle="1" w:styleId="FooterChar">
    <w:name w:val="Footer Char"/>
    <w:basedOn w:val="DefaultParagraphFont"/>
    <w:link w:val="Footer"/>
    <w:uiPriority w:val="99"/>
    <w:rsid w:val="00DD6EA5"/>
  </w:style>
  <w:style w:type="paragraph" w:styleId="CommentSubject">
    <w:name w:val="annotation subject"/>
    <w:basedOn w:val="CommentText"/>
    <w:next w:val="CommentText"/>
    <w:link w:val="CommentSubjectChar"/>
    <w:uiPriority w:val="99"/>
    <w:semiHidden/>
    <w:unhideWhenUsed/>
    <w:rsid w:val="00213B0B"/>
    <w:rPr>
      <w:b/>
      <w:bCs/>
      <w:sz w:val="20"/>
      <w:szCs w:val="20"/>
    </w:rPr>
  </w:style>
  <w:style w:type="character" w:customStyle="1" w:styleId="CommentSubjectChar">
    <w:name w:val="Comment Subject Char"/>
    <w:basedOn w:val="CommentTextChar"/>
    <w:link w:val="CommentSubject"/>
    <w:uiPriority w:val="99"/>
    <w:semiHidden/>
    <w:rsid w:val="00213B0B"/>
    <w:rPr>
      <w:b/>
      <w:bCs/>
      <w:sz w:val="20"/>
      <w:szCs w:val="20"/>
    </w:rPr>
  </w:style>
  <w:style w:type="paragraph" w:styleId="TOC1">
    <w:name w:val="toc 1"/>
    <w:basedOn w:val="Normal"/>
    <w:next w:val="Normal"/>
    <w:autoRedefine/>
    <w:uiPriority w:val="39"/>
    <w:unhideWhenUsed/>
    <w:rsid w:val="007F301F"/>
    <w:pPr>
      <w:tabs>
        <w:tab w:val="left" w:pos="360"/>
        <w:tab w:val="left" w:pos="633"/>
        <w:tab w:val="right" w:leader="dot" w:pos="8630"/>
      </w:tabs>
    </w:pPr>
  </w:style>
  <w:style w:type="paragraph" w:styleId="TOC2">
    <w:name w:val="toc 2"/>
    <w:basedOn w:val="Normal"/>
    <w:next w:val="Normal"/>
    <w:autoRedefine/>
    <w:uiPriority w:val="39"/>
    <w:unhideWhenUsed/>
    <w:rsid w:val="00DF746A"/>
    <w:pPr>
      <w:ind w:left="240"/>
    </w:pPr>
  </w:style>
  <w:style w:type="paragraph" w:styleId="TOC3">
    <w:name w:val="toc 3"/>
    <w:basedOn w:val="Normal"/>
    <w:next w:val="Normal"/>
    <w:autoRedefine/>
    <w:uiPriority w:val="39"/>
    <w:unhideWhenUsed/>
    <w:rsid w:val="00DF746A"/>
    <w:pPr>
      <w:ind w:left="480"/>
    </w:pPr>
  </w:style>
  <w:style w:type="paragraph" w:styleId="TOC4">
    <w:name w:val="toc 4"/>
    <w:basedOn w:val="Normal"/>
    <w:next w:val="Normal"/>
    <w:autoRedefine/>
    <w:uiPriority w:val="39"/>
    <w:unhideWhenUsed/>
    <w:rsid w:val="00DF746A"/>
    <w:pPr>
      <w:ind w:left="720"/>
    </w:pPr>
  </w:style>
  <w:style w:type="paragraph" w:styleId="TOC5">
    <w:name w:val="toc 5"/>
    <w:basedOn w:val="Normal"/>
    <w:next w:val="Normal"/>
    <w:autoRedefine/>
    <w:uiPriority w:val="39"/>
    <w:unhideWhenUsed/>
    <w:rsid w:val="00DF746A"/>
    <w:pPr>
      <w:ind w:left="960"/>
    </w:pPr>
  </w:style>
  <w:style w:type="paragraph" w:styleId="TOC6">
    <w:name w:val="toc 6"/>
    <w:basedOn w:val="Normal"/>
    <w:next w:val="Normal"/>
    <w:autoRedefine/>
    <w:uiPriority w:val="39"/>
    <w:unhideWhenUsed/>
    <w:rsid w:val="00DF746A"/>
    <w:pPr>
      <w:ind w:left="1200"/>
    </w:pPr>
  </w:style>
  <w:style w:type="paragraph" w:styleId="TOC7">
    <w:name w:val="toc 7"/>
    <w:basedOn w:val="Normal"/>
    <w:next w:val="Normal"/>
    <w:autoRedefine/>
    <w:uiPriority w:val="39"/>
    <w:unhideWhenUsed/>
    <w:rsid w:val="00DF746A"/>
    <w:pPr>
      <w:ind w:left="1440"/>
    </w:pPr>
  </w:style>
  <w:style w:type="paragraph" w:styleId="TOC8">
    <w:name w:val="toc 8"/>
    <w:basedOn w:val="Normal"/>
    <w:next w:val="Normal"/>
    <w:autoRedefine/>
    <w:uiPriority w:val="39"/>
    <w:unhideWhenUsed/>
    <w:rsid w:val="00DF746A"/>
    <w:pPr>
      <w:ind w:left="1680"/>
    </w:pPr>
  </w:style>
  <w:style w:type="paragraph" w:styleId="TOC9">
    <w:name w:val="toc 9"/>
    <w:basedOn w:val="Normal"/>
    <w:next w:val="Normal"/>
    <w:autoRedefine/>
    <w:uiPriority w:val="39"/>
    <w:unhideWhenUsed/>
    <w:rsid w:val="00DF746A"/>
    <w:pPr>
      <w:ind w:left="1920"/>
    </w:pPr>
  </w:style>
  <w:style w:type="character" w:styleId="Hyperlink">
    <w:name w:val="Hyperlink"/>
    <w:basedOn w:val="DefaultParagraphFont"/>
    <w:uiPriority w:val="99"/>
    <w:unhideWhenUsed/>
    <w:rsid w:val="009B45C6"/>
    <w:rPr>
      <w:color w:val="0000FF" w:themeColor="hyperlink"/>
      <w:u w:val="single"/>
    </w:rPr>
  </w:style>
  <w:style w:type="table" w:styleId="TableGrid">
    <w:name w:val="Table Grid"/>
    <w:basedOn w:val="TableNormal"/>
    <w:uiPriority w:val="59"/>
    <w:rsid w:val="0078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2434"/>
  </w:style>
  <w:style w:type="character" w:customStyle="1" w:styleId="FootnoteTextChar">
    <w:name w:val="Footnote Text Char"/>
    <w:basedOn w:val="DefaultParagraphFont"/>
    <w:link w:val="FootnoteText"/>
    <w:uiPriority w:val="99"/>
    <w:rsid w:val="00172434"/>
  </w:style>
  <w:style w:type="character" w:styleId="FootnoteReference">
    <w:name w:val="footnote reference"/>
    <w:basedOn w:val="DefaultParagraphFont"/>
    <w:uiPriority w:val="99"/>
    <w:unhideWhenUsed/>
    <w:rsid w:val="00172434"/>
    <w:rPr>
      <w:vertAlign w:val="superscript"/>
    </w:rPr>
  </w:style>
  <w:style w:type="paragraph" w:styleId="NormalWeb">
    <w:name w:val="Normal (Web)"/>
    <w:basedOn w:val="Normal"/>
    <w:uiPriority w:val="99"/>
    <w:unhideWhenUsed/>
    <w:rsid w:val="00017477"/>
    <w:pPr>
      <w:spacing w:before="100" w:beforeAutospacing="1" w:after="100" w:afterAutospacing="1"/>
    </w:pPr>
    <w:rPr>
      <w:rFonts w:ascii="Times"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568">
      <w:bodyDiv w:val="1"/>
      <w:marLeft w:val="0"/>
      <w:marRight w:val="0"/>
      <w:marTop w:val="0"/>
      <w:marBottom w:val="0"/>
      <w:divBdr>
        <w:top w:val="none" w:sz="0" w:space="0" w:color="auto"/>
        <w:left w:val="none" w:sz="0" w:space="0" w:color="auto"/>
        <w:bottom w:val="none" w:sz="0" w:space="0" w:color="auto"/>
        <w:right w:val="none" w:sz="0" w:space="0" w:color="auto"/>
      </w:divBdr>
    </w:div>
    <w:div w:id="107238799">
      <w:bodyDiv w:val="1"/>
      <w:marLeft w:val="0"/>
      <w:marRight w:val="0"/>
      <w:marTop w:val="0"/>
      <w:marBottom w:val="0"/>
      <w:divBdr>
        <w:top w:val="none" w:sz="0" w:space="0" w:color="auto"/>
        <w:left w:val="none" w:sz="0" w:space="0" w:color="auto"/>
        <w:bottom w:val="none" w:sz="0" w:space="0" w:color="auto"/>
        <w:right w:val="none" w:sz="0" w:space="0" w:color="auto"/>
      </w:divBdr>
    </w:div>
    <w:div w:id="274410927">
      <w:bodyDiv w:val="1"/>
      <w:marLeft w:val="0"/>
      <w:marRight w:val="0"/>
      <w:marTop w:val="0"/>
      <w:marBottom w:val="0"/>
      <w:divBdr>
        <w:top w:val="none" w:sz="0" w:space="0" w:color="auto"/>
        <w:left w:val="none" w:sz="0" w:space="0" w:color="auto"/>
        <w:bottom w:val="none" w:sz="0" w:space="0" w:color="auto"/>
        <w:right w:val="none" w:sz="0" w:space="0" w:color="auto"/>
      </w:divBdr>
    </w:div>
    <w:div w:id="438721559">
      <w:bodyDiv w:val="1"/>
      <w:marLeft w:val="0"/>
      <w:marRight w:val="0"/>
      <w:marTop w:val="0"/>
      <w:marBottom w:val="0"/>
      <w:divBdr>
        <w:top w:val="none" w:sz="0" w:space="0" w:color="auto"/>
        <w:left w:val="none" w:sz="0" w:space="0" w:color="auto"/>
        <w:bottom w:val="none" w:sz="0" w:space="0" w:color="auto"/>
        <w:right w:val="none" w:sz="0" w:space="0" w:color="auto"/>
      </w:divBdr>
    </w:div>
    <w:div w:id="470680838">
      <w:bodyDiv w:val="1"/>
      <w:marLeft w:val="0"/>
      <w:marRight w:val="0"/>
      <w:marTop w:val="0"/>
      <w:marBottom w:val="0"/>
      <w:divBdr>
        <w:top w:val="none" w:sz="0" w:space="0" w:color="auto"/>
        <w:left w:val="none" w:sz="0" w:space="0" w:color="auto"/>
        <w:bottom w:val="none" w:sz="0" w:space="0" w:color="auto"/>
        <w:right w:val="none" w:sz="0" w:space="0" w:color="auto"/>
      </w:divBdr>
    </w:div>
    <w:div w:id="702754944">
      <w:bodyDiv w:val="1"/>
      <w:marLeft w:val="0"/>
      <w:marRight w:val="0"/>
      <w:marTop w:val="0"/>
      <w:marBottom w:val="0"/>
      <w:divBdr>
        <w:top w:val="none" w:sz="0" w:space="0" w:color="auto"/>
        <w:left w:val="none" w:sz="0" w:space="0" w:color="auto"/>
        <w:bottom w:val="none" w:sz="0" w:space="0" w:color="auto"/>
        <w:right w:val="none" w:sz="0" w:space="0" w:color="auto"/>
      </w:divBdr>
    </w:div>
    <w:div w:id="733167679">
      <w:bodyDiv w:val="1"/>
      <w:marLeft w:val="0"/>
      <w:marRight w:val="0"/>
      <w:marTop w:val="0"/>
      <w:marBottom w:val="0"/>
      <w:divBdr>
        <w:top w:val="none" w:sz="0" w:space="0" w:color="auto"/>
        <w:left w:val="none" w:sz="0" w:space="0" w:color="auto"/>
        <w:bottom w:val="none" w:sz="0" w:space="0" w:color="auto"/>
        <w:right w:val="none" w:sz="0" w:space="0" w:color="auto"/>
      </w:divBdr>
    </w:div>
    <w:div w:id="837503373">
      <w:bodyDiv w:val="1"/>
      <w:marLeft w:val="0"/>
      <w:marRight w:val="0"/>
      <w:marTop w:val="0"/>
      <w:marBottom w:val="0"/>
      <w:divBdr>
        <w:top w:val="none" w:sz="0" w:space="0" w:color="auto"/>
        <w:left w:val="none" w:sz="0" w:space="0" w:color="auto"/>
        <w:bottom w:val="none" w:sz="0" w:space="0" w:color="auto"/>
        <w:right w:val="none" w:sz="0" w:space="0" w:color="auto"/>
      </w:divBdr>
      <w:divsChild>
        <w:div w:id="351686199">
          <w:marLeft w:val="0"/>
          <w:marRight w:val="0"/>
          <w:marTop w:val="0"/>
          <w:marBottom w:val="0"/>
          <w:divBdr>
            <w:top w:val="none" w:sz="0" w:space="0" w:color="auto"/>
            <w:left w:val="none" w:sz="0" w:space="0" w:color="auto"/>
            <w:bottom w:val="none" w:sz="0" w:space="0" w:color="auto"/>
            <w:right w:val="none" w:sz="0" w:space="0" w:color="auto"/>
          </w:divBdr>
        </w:div>
      </w:divsChild>
    </w:div>
    <w:div w:id="1110784899">
      <w:bodyDiv w:val="1"/>
      <w:marLeft w:val="0"/>
      <w:marRight w:val="0"/>
      <w:marTop w:val="0"/>
      <w:marBottom w:val="0"/>
      <w:divBdr>
        <w:top w:val="none" w:sz="0" w:space="0" w:color="auto"/>
        <w:left w:val="none" w:sz="0" w:space="0" w:color="auto"/>
        <w:bottom w:val="none" w:sz="0" w:space="0" w:color="auto"/>
        <w:right w:val="none" w:sz="0" w:space="0" w:color="auto"/>
      </w:divBdr>
    </w:div>
    <w:div w:id="1111434416">
      <w:bodyDiv w:val="1"/>
      <w:marLeft w:val="0"/>
      <w:marRight w:val="0"/>
      <w:marTop w:val="0"/>
      <w:marBottom w:val="0"/>
      <w:divBdr>
        <w:top w:val="none" w:sz="0" w:space="0" w:color="auto"/>
        <w:left w:val="none" w:sz="0" w:space="0" w:color="auto"/>
        <w:bottom w:val="none" w:sz="0" w:space="0" w:color="auto"/>
        <w:right w:val="none" w:sz="0" w:space="0" w:color="auto"/>
      </w:divBdr>
      <w:divsChild>
        <w:div w:id="1298297676">
          <w:marLeft w:val="0"/>
          <w:marRight w:val="0"/>
          <w:marTop w:val="0"/>
          <w:marBottom w:val="0"/>
          <w:divBdr>
            <w:top w:val="none" w:sz="0" w:space="0" w:color="auto"/>
            <w:left w:val="none" w:sz="0" w:space="0" w:color="auto"/>
            <w:bottom w:val="none" w:sz="0" w:space="0" w:color="auto"/>
            <w:right w:val="none" w:sz="0" w:space="0" w:color="auto"/>
          </w:divBdr>
        </w:div>
      </w:divsChild>
    </w:div>
    <w:div w:id="1113208005">
      <w:bodyDiv w:val="1"/>
      <w:marLeft w:val="0"/>
      <w:marRight w:val="0"/>
      <w:marTop w:val="0"/>
      <w:marBottom w:val="0"/>
      <w:divBdr>
        <w:top w:val="none" w:sz="0" w:space="0" w:color="auto"/>
        <w:left w:val="none" w:sz="0" w:space="0" w:color="auto"/>
        <w:bottom w:val="none" w:sz="0" w:space="0" w:color="auto"/>
        <w:right w:val="none" w:sz="0" w:space="0" w:color="auto"/>
      </w:divBdr>
    </w:div>
    <w:div w:id="1327592594">
      <w:bodyDiv w:val="1"/>
      <w:marLeft w:val="0"/>
      <w:marRight w:val="0"/>
      <w:marTop w:val="0"/>
      <w:marBottom w:val="0"/>
      <w:divBdr>
        <w:top w:val="none" w:sz="0" w:space="0" w:color="auto"/>
        <w:left w:val="none" w:sz="0" w:space="0" w:color="auto"/>
        <w:bottom w:val="none" w:sz="0" w:space="0" w:color="auto"/>
        <w:right w:val="none" w:sz="0" w:space="0" w:color="auto"/>
      </w:divBdr>
      <w:divsChild>
        <w:div w:id="11418243">
          <w:marLeft w:val="0"/>
          <w:marRight w:val="0"/>
          <w:marTop w:val="0"/>
          <w:marBottom w:val="0"/>
          <w:divBdr>
            <w:top w:val="none" w:sz="0" w:space="0" w:color="auto"/>
            <w:left w:val="none" w:sz="0" w:space="0" w:color="auto"/>
            <w:bottom w:val="none" w:sz="0" w:space="0" w:color="auto"/>
            <w:right w:val="none" w:sz="0" w:space="0" w:color="auto"/>
          </w:divBdr>
        </w:div>
      </w:divsChild>
    </w:div>
    <w:div w:id="1402101046">
      <w:bodyDiv w:val="1"/>
      <w:marLeft w:val="0"/>
      <w:marRight w:val="0"/>
      <w:marTop w:val="0"/>
      <w:marBottom w:val="0"/>
      <w:divBdr>
        <w:top w:val="none" w:sz="0" w:space="0" w:color="auto"/>
        <w:left w:val="none" w:sz="0" w:space="0" w:color="auto"/>
        <w:bottom w:val="none" w:sz="0" w:space="0" w:color="auto"/>
        <w:right w:val="none" w:sz="0" w:space="0" w:color="auto"/>
      </w:divBdr>
    </w:div>
    <w:div w:id="1499732432">
      <w:bodyDiv w:val="1"/>
      <w:marLeft w:val="0"/>
      <w:marRight w:val="0"/>
      <w:marTop w:val="0"/>
      <w:marBottom w:val="0"/>
      <w:divBdr>
        <w:top w:val="none" w:sz="0" w:space="0" w:color="auto"/>
        <w:left w:val="none" w:sz="0" w:space="0" w:color="auto"/>
        <w:bottom w:val="none" w:sz="0" w:space="0" w:color="auto"/>
        <w:right w:val="none" w:sz="0" w:space="0" w:color="auto"/>
      </w:divBdr>
    </w:div>
    <w:div w:id="1836339643">
      <w:bodyDiv w:val="1"/>
      <w:marLeft w:val="0"/>
      <w:marRight w:val="0"/>
      <w:marTop w:val="0"/>
      <w:marBottom w:val="0"/>
      <w:divBdr>
        <w:top w:val="none" w:sz="0" w:space="0" w:color="auto"/>
        <w:left w:val="none" w:sz="0" w:space="0" w:color="auto"/>
        <w:bottom w:val="none" w:sz="0" w:space="0" w:color="auto"/>
        <w:right w:val="none" w:sz="0" w:space="0" w:color="auto"/>
      </w:divBdr>
    </w:div>
    <w:div w:id="2119448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ivacyoffice@berkeley.edu" TargetMode="External"/><Relationship Id="rId20" Type="http://schemas.openxmlformats.org/officeDocument/2006/relationships/theme" Target="theme/theme1.xml"/><Relationship Id="R28828f06c476432b" Type="http://schemas.microsoft.com/office/2011/relationships/commentsExtended" Target="commentsExtended.xml"/><Relationship Id="rId10" Type="http://schemas.openxmlformats.org/officeDocument/2006/relationships/hyperlink" Target="mailto:PrivacyOffice@berkeley.edu" TargetMode="External"/><Relationship Id="rId11" Type="http://schemas.openxmlformats.org/officeDocument/2006/relationships/hyperlink" Target="mailto:privacyoffice@berkeley.edu" TargetMode="External"/><Relationship Id="rId12" Type="http://schemas.openxmlformats.org/officeDocument/2006/relationships/hyperlink" Target="mailto:privacyoffice@berkeley.edu.edu" TargetMode="External"/><Relationship Id="rId13" Type="http://schemas.openxmlformats.org/officeDocument/2006/relationships/hyperlink" Target="mailto:privacyoffice@berkeley.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eader" Target="header3.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nist.gov/nstic/NSTIC-FIP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B34A-9E3C-2F45-9CEA-150928DB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3315</Words>
  <Characters>18900</Characters>
  <Application>Microsoft Macintosh Word</Application>
  <DocSecurity>0</DocSecurity>
  <Lines>157</Lines>
  <Paragraphs>44</Paragraphs>
  <ScaleCrop>false</ScaleCrop>
  <Company>UC Berkeley</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Ho</cp:lastModifiedBy>
  <cp:revision>3</cp:revision>
  <cp:lastPrinted>2017-02-28T21:59:00Z</cp:lastPrinted>
  <dcterms:created xsi:type="dcterms:W3CDTF">2017-06-23T20:34:00Z</dcterms:created>
  <dcterms:modified xsi:type="dcterms:W3CDTF">2017-06-23T20:37:00Z</dcterms:modified>
</cp:coreProperties>
</file>